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AF8F5"/>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pct" w:w="100%"/>
            <w:shd w:fill="30343B" w:val="clear"/>
            <w:tcMar>
              <w:top w:type="dxa" w:w="900"/>
              <w:left w:type="dxa" w:w="560"/>
              <w:bottom w:type="dxa" w:w="900"/>
              <w:right w:type="dxa" w:w="560"/>
            </w:tcMar>
            <w:vAlign w:val="center"/>
          </w:tcPr>
          <w:p>
            <w:pPr>
              <w:pBdr>
                <w:bottom w:val="single" w:color="B9985A" w:sz="4" w:space="1"/>
              </w:pBdr>
              <w:spacing w:after="220"/>
            </w:pPr>
            <w:r>
              <w:rPr>
                <w:sz w:val="2"/>
                <w:szCs w:val="2"/>
              </w:rPr>
              <w:t xml:space="preserve"/>
            </w:r>
          </w:p>
          <w:p>
            <w:pPr>
              <w:spacing w:after="200"/>
            </w:pPr>
            <w:r>
              <w:rPr>
                <w:rFonts w:ascii="Manrope" w:cs="Manrope" w:eastAsia="Manrope" w:hAnsi="Manrope"/>
                <w:color w:val="B9985A"/>
                <w:spacing w:val="42"/>
                <w:sz w:val="15"/>
                <w:szCs w:val="15"/>
              </w:rPr>
              <w:t xml:space="preserve">RESSOURCE — SANTÉ HORMONALE</w:t>
            </w:r>
          </w:p>
          <w:p>
            <w:pPr>
              <w:spacing w:after="160"/>
            </w:pPr>
            <w:r>
              <w:rPr>
                <w:rFonts w:ascii="Cormorant Garamond" w:cs="Cormorant Garamond" w:eastAsia="Cormorant Garamond" w:hAnsi="Cormorant Garamond"/>
                <w:color w:val="F3E8D8"/>
                <w:sz w:val="54"/>
                <w:szCs w:val="54"/>
              </w:rPr>
              <w:t xml:space="preserve">Le Guide de la </w:t>
            </w:r>
            <w:r>
              <w:rPr>
                <w:rFonts w:ascii="Cormorant Garamond" w:cs="Cormorant Garamond" w:eastAsia="Cormorant Garamond" w:hAnsi="Cormorant Garamond"/>
                <w:i/>
                <w:iCs/>
                <w:color w:val="B9985A"/>
                <w:sz w:val="54"/>
                <w:szCs w:val="54"/>
              </w:rPr>
              <w:t xml:space="preserve">Ménopause</w:t>
            </w:r>
          </w:p>
          <w:p>
            <w:pPr>
              <w:spacing w:after="260"/>
            </w:pPr>
            <w:r>
              <w:rPr>
                <w:rFonts w:ascii="Cormorant Garamond" w:cs="Cormorant Garamond" w:eastAsia="Cormorant Garamond" w:hAnsi="Cormorant Garamond"/>
                <w:i/>
                <w:iCs/>
                <w:color w:val="F3E8D8"/>
                <w:sz w:val="24"/>
                <w:szCs w:val="24"/>
              </w:rPr>
              <w:t xml:space="preserve">Comprendre, se préparer, être entendue</w:t>
            </w:r>
          </w:p>
          <w:p>
            <w:pPr>
              <w:spacing w:after="40"/>
            </w:pPr>
            <w:r>
              <w:rPr>
                <w:rFonts w:ascii="Manrope" w:cs="Manrope" w:eastAsia="Manrope" w:hAnsi="Manrope"/>
                <w:color w:val="D8CFC0"/>
                <w:sz w:val="16"/>
                <w:szCs w:val="16"/>
              </w:rPr>
              <w:t xml:space="preserve">Adaptation et traduction libre, à visée éducative, réunissant le « Menopause Empowerment Guide » du Dr Mary Claire Haver, MD (The 'Pause Life) et la fiche d'information patiente de la Société Française de Ménopause (SFM-GEMVi), avril 2025.</w:t>
            </w:r>
          </w:p>
        </w:tc>
      </w:tr>
    </w:tbl>
    <w:p>
      <w:pPr>
        <w:spacing w:before="260"/>
        <w:jc w:val="center"/>
      </w:pPr>
      <w:r>
        <w:rPr>
          <w:rFonts w:ascii="Manrope" w:cs="Manrope" w:eastAsia="Manrope" w:hAnsi="Manrope"/>
          <w:i/>
          <w:iCs/>
          <w:color w:val="7A756E"/>
          <w:sz w:val="16"/>
          <w:szCs w:val="16"/>
        </w:rPr>
        <w:t xml:space="preserve">Document informatif — ne remplace pas une consultation médicale</w:t>
      </w:r>
    </w:p>
    <w:p>
      <w:r>
        <w:br w:type="page"/>
      </w:r>
    </w:p>
    <w:p>
      <w:pPr>
        <w:spacing w:after="60" w:before="260"/>
      </w:pPr>
      <w:r>
        <w:rPr>
          <w:rFonts w:ascii="Manrope" w:cs="Manrope" w:eastAsia="Manrope" w:hAnsi="Manrope"/>
          <w:b w:val="false"/>
          <w:bCs w:val="false"/>
          <w:color w:val="B9985A"/>
          <w:spacing w:val="40"/>
          <w:sz w:val="15"/>
          <w:szCs w:val="15"/>
        </w:rPr>
        <w:t xml:space="preserve">TRANSPARENCE &amp; SOURCES</w:t>
      </w:r>
    </w:p>
    <w:p>
      <w:pPr>
        <w:pStyle w:val="Heading1"/>
        <w:spacing w:after="100"/>
      </w:pPr>
      <w:r>
        <w:rPr>
          <w:rFonts w:ascii="Cormorant Garamond" w:cs="Cormorant Garamond" w:eastAsia="Cormorant Garamond" w:hAnsi="Cormorant Garamond"/>
          <w:b w:val="false"/>
          <w:bCs w:val="false"/>
          <w:color w:val="5E7D6A"/>
          <w:sz w:val="40"/>
          <w:szCs w:val="40"/>
        </w:rPr>
        <w:t xml:space="preserve">Crédits et origine de ce document</w:t>
      </w:r>
    </w:p>
    <w:p>
      <w:pPr>
        <w:pBdr>
          <w:bottom w:val="single" w:color="B9985A" w:sz="4" w:space="1"/>
        </w:pBdr>
        <w:spacing w:after="160"/>
      </w:pPr>
      <w:r>
        <w:rPr>
          <w:sz w:val="2"/>
          <w:szCs w:val="2"/>
        </w:rPr>
        <w:t xml:space="preserve"/>
      </w:r>
    </w:p>
    <w:p>
      <w:pPr>
        <w:spacing w:after="150" w:line="320"/>
      </w:pPr>
      <w:r>
        <w:rPr>
          <w:rFonts w:ascii="Manrope" w:cs="Manrope" w:eastAsia="Manrope" w:hAnsi="Manrope"/>
          <w:b w:val="false"/>
          <w:bCs w:val="false"/>
          <w:i w:val="false"/>
          <w:iCs w:val="false"/>
          <w:color w:val="30343B"/>
          <w:sz w:val="21"/>
          <w:szCs w:val="21"/>
        </w:rPr>
        <w:t xml:space="preserve">Ce document est une adaptation et traduction libre en français, réalisée à des fins éducatives, qui réunit deux sources :</w:t>
      </w:r>
    </w:p>
    <w:p>
      <w:pPr>
        <w:spacing w:after="80" w:before="180"/>
      </w:pPr>
      <w:r>
        <w:rPr>
          <w:rFonts w:ascii="Manrope" w:cs="Manrope" w:eastAsia="Manrope" w:hAnsi="Manrope"/>
          <w:b/>
          <w:bCs/>
          <w:color w:val="30343B"/>
          <w:sz w:val="20"/>
          <w:szCs w:val="20"/>
        </w:rPr>
        <w:t xml:space="preserve">1. The Menopause Empowerment Guide</w:t>
      </w:r>
    </w:p>
    <w:p>
      <w:pPr>
        <w:spacing w:after="150" w:line="320"/>
      </w:pPr>
      <w:r>
        <w:rPr>
          <w:rFonts w:ascii="Manrope" w:cs="Manrope" w:eastAsia="Manrope" w:hAnsi="Manrope"/>
          <w:b w:val="false"/>
          <w:bCs w:val="false"/>
          <w:i w:val="false"/>
          <w:iCs w:val="false"/>
          <w:color w:val="30343B"/>
          <w:sz w:val="21"/>
          <w:szCs w:val="21"/>
        </w:rPr>
        <w:t xml:space="preserve">© Mary Claire Media LLC. Rédigé à l'origine en anglais par le Dr Mary Claire Haver, MD, gynécologue-obstétricienne certifiée et praticienne certifiée en médecine de la ménopause, fondatrice de la plateforme et communauté The 'Pause Life (thepauselife.com). Les sections consacrées à la préparation du rendez-vous médical, aux scripts de communication patiente-médecin et à la trousse de bonnes pratiques au quotidien s'inspirent directement de ce guide original.</w:t>
      </w:r>
    </w:p>
    <w:p>
      <w:pPr>
        <w:spacing w:after="80" w:before="180"/>
      </w:pPr>
      <w:r>
        <w:rPr>
          <w:rFonts w:ascii="Manrope" w:cs="Manrope" w:eastAsia="Manrope" w:hAnsi="Manrope"/>
          <w:b/>
          <w:bCs/>
          <w:color w:val="30343B"/>
          <w:sz w:val="20"/>
          <w:szCs w:val="20"/>
        </w:rPr>
        <w:t xml:space="preserve">2. Fiche d'information aux patientes — Société Française de Ménopause (SFM-GEMVi)</w:t>
      </w:r>
    </w:p>
    <w:p>
      <w:pPr>
        <w:spacing w:after="150" w:line="320"/>
      </w:pPr>
      <w:r>
        <w:rPr>
          <w:rFonts w:ascii="Manrope" w:cs="Manrope" w:eastAsia="Manrope" w:hAnsi="Manrope"/>
          <w:b w:val="false"/>
          <w:bCs w:val="false"/>
          <w:i w:val="false"/>
          <w:iCs w:val="false"/>
          <w:color w:val="30343B"/>
          <w:sz w:val="21"/>
          <w:szCs w:val="21"/>
        </w:rPr>
        <w:t xml:space="preserve">© GEMVi. Fiche éditée et mise à jour par la Société Française de Ménopause – Groupe d'Étude de la Ménopause et du Vieillissement hormonal (SFM-GEMVi), avril 2025. Les données médicales spécifiques au contexte français proviennent de cette fiche officielle, disponible sur www.gemvi.org.</w:t>
      </w:r>
    </w:p>
    <w:p>
      <w:pPr>
        <w:spacing w:after="150" w:line="320"/>
      </w:pPr>
      <w:r>
        <w:rPr>
          <w:rFonts w:ascii="Manrope" w:cs="Manrope" w:eastAsia="Manrope" w:hAnsi="Manrope"/>
          <w:b w:val="false"/>
          <w:bCs w:val="false"/>
          <w:i/>
          <w:iCs/>
          <w:color w:val="30343B"/>
          <w:sz w:val="21"/>
          <w:szCs w:val="21"/>
        </w:rPr>
        <w:t xml:space="preserve">Ce guide ne mentionne aucun produit de marque déposée appartenant à l'une ou l'autre de ces organisations ; les catégories de compléments alimentaires évoquées plus loin sont génériques, avec des exemples de marques disponibles en pharmacie française, sans lien commercial.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pct" w:w="100%"/>
            <w:tcBorders>
              <w:top w:val="none" w:color="FFFFFF" w:sz="0"/>
              <w:left w:val="single" w:color="B9985A" w:sz="16"/>
              <w:bottom w:val="none" w:color="FFFFFF" w:sz="0"/>
              <w:right w:val="none" w:color="FFFFFF" w:sz="0"/>
            </w:tcBorders>
            <w:shd w:fill="FBF6EE" w:val="clear"/>
            <w:tcMar>
              <w:top w:type="dxa" w:w="200"/>
              <w:left w:type="dxa" w:w="260"/>
              <w:bottom w:type="dxa" w:w="200"/>
              <w:right w:type="dxa" w:w="260"/>
            </w:tcMar>
          </w:tcPr>
          <w:p>
            <w:pPr>
              <w:spacing w:after="90" w:line="300"/>
            </w:pPr>
            <w:r>
              <w:rPr>
                <w:rFonts w:ascii="Cormorant Garamond" w:cs="Cormorant Garamond" w:eastAsia="Cormorant Garamond" w:hAnsi="Cormorant Garamond"/>
                <w:b w:val="false"/>
                <w:bCs w:val="false"/>
                <w:i/>
                <w:iCs/>
                <w:color w:val="30343B"/>
                <w:sz w:val="23"/>
                <w:szCs w:val="23"/>
              </w:rPr>
              <w:t xml:space="preserve">Ce document est informatif et ne remplace pas une consultation médicale. Seul votre médecin peut répondre à vos questions personnelles et adapter un traitement à votre situation.</w:t>
            </w:r>
          </w:p>
        </w:tc>
      </w:tr>
    </w:tbl>
    <w:p>
      <w:r>
        <w:br w:type="page"/>
      </w:r>
    </w:p>
    <w:p>
      <w:pPr>
        <w:spacing w:after="60" w:before="260"/>
      </w:pPr>
      <w:r>
        <w:rPr>
          <w:rFonts w:ascii="Manrope" w:cs="Manrope" w:eastAsia="Manrope" w:hAnsi="Manrope"/>
          <w:b w:val="false"/>
          <w:bCs w:val="false"/>
          <w:color w:val="B9985A"/>
          <w:spacing w:val="40"/>
          <w:sz w:val="15"/>
          <w:szCs w:val="15"/>
        </w:rPr>
        <w:t xml:space="preserve">LES FONDAMENTAUX</w:t>
      </w:r>
    </w:p>
    <w:p>
      <w:pPr>
        <w:pStyle w:val="Heading1"/>
        <w:spacing w:after="100"/>
      </w:pPr>
      <w:r>
        <w:rPr>
          <w:rFonts w:ascii="Cormorant Garamond" w:cs="Cormorant Garamond" w:eastAsia="Cormorant Garamond" w:hAnsi="Cormorant Garamond"/>
          <w:b w:val="false"/>
          <w:bCs w:val="false"/>
          <w:color w:val="5E7D6A"/>
          <w:sz w:val="40"/>
          <w:szCs w:val="40"/>
        </w:rPr>
        <w:t xml:space="preserve">Comprendre la ménopause</w:t>
      </w:r>
    </w:p>
    <w:p>
      <w:pPr>
        <w:pBdr>
          <w:bottom w:val="single" w:color="B9985A" w:sz="4" w:space="1"/>
        </w:pBdr>
        <w:spacing w:after="160"/>
      </w:pPr>
      <w:r>
        <w:rPr>
          <w:sz w:val="2"/>
          <w:szCs w:val="2"/>
        </w:rPr>
        <w:t xml:space="preserve"/>
      </w:r>
    </w:p>
    <w:p>
      <w:pPr>
        <w:spacing w:after="130" w:before="280"/>
      </w:pPr>
      <w:r>
        <w:rPr>
          <w:rFonts w:ascii="Cormorant Garamond" w:cs="Cormorant Garamond" w:eastAsia="Cormorant Garamond" w:hAnsi="Cormorant Garamond"/>
          <w:i w:val="false"/>
          <w:iCs w:val="false"/>
          <w:color w:val="B66B5C"/>
          <w:sz w:val="27"/>
          <w:szCs w:val="27"/>
        </w:rPr>
        <w:t xml:space="preserve">Définitions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La ménopause correspond à l'arrêt du fonctionnement de l'ovaire, survenant en moyenne vers 50-52 ans en France, avec arrêt des règles et perte de la fonction de reproduction. On parle de ménopause « installée » après 1 an sans règles.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La périménopause précède l'arrêt des règles et peut se prolonger jusqu'à un an après les dernières règles. Les cycles se raccourcissent puis s'allongent et deviennent irréguliers ; les symptômes peuvent apparaître pendant cette période, parfois plusieurs années avant la ménopause confirmée.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L'insuffisance ovarienne prématurée (IOP), anciennement appelée « ménopause précoce », correspond à un arrêt de fonctionnement des ovaires avant 40 ans.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La ménopause avancée survient entre 40 et 45 ans ; la ménopause tardive après 55 ans.</w:t>
      </w:r>
    </w:p>
    <w:p>
      <w:pPr>
        <w:spacing w:after="100" w:line="280"/>
      </w:pPr>
      <w:r>
        <w:rPr>
          <w:rFonts w:ascii="Manrope" w:cs="Manrope" w:eastAsia="Manrope" w:hAnsi="Manrope"/>
          <w:i/>
          <w:iCs/>
          <w:color w:val="7A756E"/>
          <w:sz w:val="17"/>
          <w:szCs w:val="17"/>
        </w:rPr>
        <w:t xml:space="preserve">Source : Fiche d'information SFM-GEMVi, avril 2025.</w:t>
      </w:r>
    </w:p>
    <w:p>
      <w:pPr>
        <w:spacing w:after="130" w:before="280"/>
      </w:pPr>
      <w:r>
        <w:rPr>
          <w:rFonts w:ascii="Cormorant Garamond" w:cs="Cormorant Garamond" w:eastAsia="Cormorant Garamond" w:hAnsi="Cormorant Garamond"/>
          <w:i w:val="false"/>
          <w:iCs w:val="false"/>
          <w:color w:val="B66B5C"/>
          <w:sz w:val="27"/>
          <w:szCs w:val="27"/>
        </w:rPr>
        <w:t xml:space="preserve">Le syndrome climatérique : les 4 signes principaux</w:t>
      </w:r>
    </w:p>
    <w:p>
      <w:pPr>
        <w:spacing w:after="150" w:line="320"/>
      </w:pPr>
      <w:r>
        <w:rPr>
          <w:rFonts w:ascii="Manrope" w:cs="Manrope" w:eastAsia="Manrope" w:hAnsi="Manrope"/>
          <w:b w:val="false"/>
          <w:bCs w:val="false"/>
          <w:i w:val="false"/>
          <w:iCs w:val="false"/>
          <w:color w:val="30343B"/>
          <w:sz w:val="21"/>
          <w:szCs w:val="21"/>
        </w:rPr>
        <w:t xml:space="preserve">C'est l'ensemble des symptômes liés à l'arrêt du fonctionnement ovarien ; certains peuvent débuter quelques années avant la ménopause installée.</w:t>
      </w:r>
    </w:p>
    <w:p>
      <w:pPr>
        <w:pStyle w:val="ListParagraph"/>
        <w:numPr>
          <w:ilvl w:val="0"/>
          <w:numId w:val="3"/>
        </w:numPr>
        <w:spacing w:after="110" w:line="300"/>
      </w:pPr>
      <w:r>
        <w:rPr>
          <w:rFonts w:ascii="Manrope" w:cs="Manrope" w:eastAsia="Manrope" w:hAnsi="Manrope"/>
          <w:color w:val="30343B"/>
          <w:sz w:val="21"/>
          <w:szCs w:val="21"/>
        </w:rPr>
        <w:t xml:space="preserve">Les bouffées vaso-motrices (BVM) : sensation de chaleur, de tout le corps, particulièrement au cou et au visage, avec rougeurs et sueurs, de jour comme de nuit.</w:t>
      </w:r>
    </w:p>
    <w:p>
      <w:pPr>
        <w:pStyle w:val="ListParagraph"/>
        <w:numPr>
          <w:ilvl w:val="0"/>
          <w:numId w:val="3"/>
        </w:numPr>
        <w:spacing w:after="110" w:line="300"/>
      </w:pPr>
      <w:r>
        <w:rPr>
          <w:rFonts w:ascii="Manrope" w:cs="Manrope" w:eastAsia="Manrope" w:hAnsi="Manrope"/>
          <w:color w:val="30343B"/>
          <w:sz w:val="21"/>
          <w:szCs w:val="21"/>
        </w:rPr>
        <w:t xml:space="preserve">Les sueurs nocturnes : peuvent survenir isolément, réveillent la femme et provoquent des troubles du sommeil invalidants.</w:t>
      </w:r>
    </w:p>
    <w:p>
      <w:pPr>
        <w:pStyle w:val="ListParagraph"/>
        <w:numPr>
          <w:ilvl w:val="0"/>
          <w:numId w:val="3"/>
        </w:numPr>
        <w:spacing w:after="110" w:line="300"/>
      </w:pPr>
      <w:r>
        <w:rPr>
          <w:rFonts w:ascii="Manrope" w:cs="Manrope" w:eastAsia="Manrope" w:hAnsi="Manrope"/>
          <w:color w:val="30343B"/>
          <w:sz w:val="21"/>
          <w:szCs w:val="21"/>
        </w:rPr>
        <w:t xml:space="preserve">Les troubles génito-urinaires (syndrome génito-urinaire de la ménopause, SGUM) : sécheresse vulvo-vaginale, douleurs lors des rapports, baisse du désir, infections et irritations urinaires, pertes d'urine à l'effort ou besoins urgents.</w:t>
      </w:r>
    </w:p>
    <w:p>
      <w:pPr>
        <w:pStyle w:val="ListParagraph"/>
        <w:numPr>
          <w:ilvl w:val="0"/>
          <w:numId w:val="3"/>
        </w:numPr>
        <w:spacing w:after="110" w:line="300"/>
      </w:pPr>
      <w:r>
        <w:rPr>
          <w:rFonts w:ascii="Manrope" w:cs="Manrope" w:eastAsia="Manrope" w:hAnsi="Manrope"/>
          <w:color w:val="30343B"/>
          <w:sz w:val="21"/>
          <w:szCs w:val="21"/>
        </w:rPr>
        <w:t xml:space="preserve">Les douleurs articulaires : touchent surtout les petites articulations, plus marquées le matin, s'améliorant avec l'activité physique.</w:t>
      </w:r>
    </w:p>
    <w:p>
      <w:pPr>
        <w:spacing w:after="150" w:line="320"/>
      </w:pPr>
      <w:r>
        <w:rPr>
          <w:rFonts w:ascii="Manrope" w:cs="Manrope" w:eastAsia="Manrope" w:hAnsi="Manrope"/>
          <w:b w:val="false"/>
          <w:bCs w:val="false"/>
          <w:i w:val="false"/>
          <w:iCs w:val="false"/>
          <w:color w:val="30343B"/>
          <w:sz w:val="21"/>
          <w:szCs w:val="21"/>
        </w:rPr>
        <w:t xml:space="preserve">D'autres signes moins spécifiques existent : baisse de la libido, peau plus sèche, troubles du sommeil, fatigue, troubles de l'attention et de la mémoire, tendance dépressive, irritabilité — souvent liés à l'« effet domino » des réveils nocturnes causés par les BVM. Une redistribution des graisses vers l'abdomen est également fréquente, débutant parfois avant la ménopause confirmée.</w:t>
      </w:r>
    </w:p>
    <w:p>
      <w:pPr>
        <w:spacing w:after="100" w:line="280"/>
      </w:pPr>
      <w:r>
        <w:rPr>
          <w:rFonts w:ascii="Manrope" w:cs="Manrope" w:eastAsia="Manrope" w:hAnsi="Manrope"/>
          <w:i/>
          <w:iCs/>
          <w:color w:val="7A756E"/>
          <w:sz w:val="17"/>
          <w:szCs w:val="17"/>
        </w:rPr>
        <w:t xml:space="preserve">Source : Fiche d'information SFM-GEMVi, avril 2025.</w:t>
      </w:r>
    </w:p>
    <w:p>
      <w:r>
        <w:br w:type="page"/>
      </w:r>
    </w:p>
    <w:p>
      <w:pPr>
        <w:spacing w:after="60" w:before="260"/>
      </w:pPr>
      <w:r>
        <w:rPr>
          <w:rFonts w:ascii="Manrope" w:cs="Manrope" w:eastAsia="Manrope" w:hAnsi="Manrope"/>
          <w:b w:val="false"/>
          <w:bCs w:val="false"/>
          <w:color w:val="B9985A"/>
          <w:spacing w:val="40"/>
          <w:sz w:val="15"/>
          <w:szCs w:val="15"/>
        </w:rPr>
        <w:t xml:space="preserve">VISION LONG TERME</w:t>
      </w:r>
    </w:p>
    <w:p>
      <w:pPr>
        <w:pStyle w:val="Heading1"/>
        <w:spacing w:after="100"/>
      </w:pPr>
      <w:r>
        <w:rPr>
          <w:rFonts w:ascii="Cormorant Garamond" w:cs="Cormorant Garamond" w:eastAsia="Cormorant Garamond" w:hAnsi="Cormorant Garamond"/>
          <w:b w:val="false"/>
          <w:bCs w:val="false"/>
          <w:color w:val="5E7D6A"/>
          <w:sz w:val="40"/>
          <w:szCs w:val="40"/>
        </w:rPr>
        <w:t xml:space="preserve">Quel est l'impact sur la santé ?</w:t>
      </w:r>
    </w:p>
    <w:p>
      <w:pPr>
        <w:pBdr>
          <w:bottom w:val="single" w:color="B9985A" w:sz="4" w:space="1"/>
        </w:pBdr>
        <w:spacing w:after="160"/>
      </w:pPr>
      <w:r>
        <w:rPr>
          <w:sz w:val="2"/>
          <w:szCs w:val="2"/>
        </w:rPr>
        <w:t xml:space="preserve"/>
      </w:r>
    </w:p>
    <w:p>
      <w:pPr>
        <w:spacing w:after="150" w:line="320"/>
      </w:pPr>
      <w:r>
        <w:rPr>
          <w:rFonts w:ascii="Manrope" w:cs="Manrope" w:eastAsia="Manrope" w:hAnsi="Manrope"/>
          <w:b w:val="false"/>
          <w:bCs w:val="false"/>
          <w:i w:val="false"/>
          <w:iCs w:val="false"/>
          <w:color w:val="30343B"/>
          <w:sz w:val="21"/>
          <w:szCs w:val="21"/>
        </w:rPr>
        <w:t xml:space="preserve">Au-delà des symptômes du quotidien, la carence en estrogènes peut, chez certaines femmes, favoriser de véritables maladies à plus long terme.</w:t>
      </w:r>
    </w:p>
    <w:p>
      <w:pPr>
        <w:spacing w:after="130" w:before="280"/>
      </w:pPr>
      <w:r>
        <w:rPr>
          <w:rFonts w:ascii="Cormorant Garamond" w:cs="Cormorant Garamond" w:eastAsia="Cormorant Garamond" w:hAnsi="Cormorant Garamond"/>
          <w:i w:val="false"/>
          <w:iCs w:val="false"/>
          <w:color w:val="B66B5C"/>
          <w:sz w:val="27"/>
          <w:szCs w:val="27"/>
        </w:rPr>
        <w:t xml:space="preserve">1 — L'ostéoporose post-ménopausique</w:t>
      </w:r>
    </w:p>
    <w:p>
      <w:pPr>
        <w:spacing w:after="150" w:line="320"/>
      </w:pPr>
      <w:r>
        <w:rPr>
          <w:rFonts w:ascii="Manrope" w:cs="Manrope" w:eastAsia="Manrope" w:hAnsi="Manrope"/>
          <w:b w:val="false"/>
          <w:bCs w:val="false"/>
          <w:i w:val="false"/>
          <w:iCs w:val="false"/>
          <w:color w:val="30343B"/>
          <w:sz w:val="21"/>
          <w:szCs w:val="21"/>
        </w:rPr>
        <w:t xml:space="preserve">La chute des estrogènes accélère la perte osseuse. L'ostéoporose touche une femme sur quatre après la ménopause. Les fractures les plus fréquentes touchent les vertèbres, le poignet (fracture de Pouteau-Colles) et, plus tard, l'extrémité supérieure du fémur.</w:t>
      </w:r>
    </w:p>
    <w:p>
      <w:pPr>
        <w:spacing w:after="150" w:line="320"/>
      </w:pPr>
      <w:r>
        <w:rPr>
          <w:rFonts w:ascii="Manrope" w:cs="Manrope" w:eastAsia="Manrope" w:hAnsi="Manrope"/>
          <w:b w:val="false"/>
          <w:bCs w:val="false"/>
          <w:i w:val="false"/>
          <w:iCs w:val="false"/>
          <w:color w:val="30343B"/>
          <w:sz w:val="21"/>
          <w:szCs w:val="21"/>
        </w:rPr>
        <w:t xml:space="preserve">Le dépistage se fait par ostéodensitométrie (DMO). On parle d'ostéoporose « densitométrique » lorsque le T-score est ≤ -2,5 sur la colonne lombaire et/ou le col du fémur, et d'ostéoporose « fracturaire » en cas de fracture après un traumatisme minime.</w:t>
      </w:r>
    </w:p>
    <w:p>
      <w:pPr>
        <w:spacing w:after="150" w:line="320"/>
      </w:pPr>
      <w:r>
        <w:rPr>
          <w:rFonts w:ascii="Manrope" w:cs="Manrope" w:eastAsia="Manrope" w:hAnsi="Manrope"/>
          <w:b w:val="false"/>
          <w:bCs w:val="false"/>
          <w:i/>
          <w:iCs/>
          <w:color w:val="30343B"/>
          <w:sz w:val="21"/>
          <w:szCs w:val="21"/>
        </w:rPr>
        <w:t xml:space="preserve">Facteurs de risque à signaler à votre médecin : DMO déjà diminuée, antécédent personnel de fracture ou de fracture de hanche chez un parent, maigreur, arrêt des règles de plus de 6 mois avant la ménopause, ménopause avant 40 ans, certains traitements.</w:t>
      </w:r>
    </w:p>
    <w:p>
      <w:pPr>
        <w:spacing w:after="130" w:before="280"/>
      </w:pPr>
      <w:r>
        <w:rPr>
          <w:rFonts w:ascii="Cormorant Garamond" w:cs="Cormorant Garamond" w:eastAsia="Cormorant Garamond" w:hAnsi="Cormorant Garamond"/>
          <w:i w:val="false"/>
          <w:iCs w:val="false"/>
          <w:color w:val="B66B5C"/>
          <w:sz w:val="27"/>
          <w:szCs w:val="27"/>
        </w:rPr>
        <w:t xml:space="preserve">2 — Les maladies cardio-vasculaires</w:t>
      </w:r>
    </w:p>
    <w:p>
      <w:pPr>
        <w:spacing w:after="150" w:line="320"/>
      </w:pPr>
      <w:r>
        <w:rPr>
          <w:rFonts w:ascii="Manrope" w:cs="Manrope" w:eastAsia="Manrope" w:hAnsi="Manrope"/>
          <w:b w:val="false"/>
          <w:bCs w:val="false"/>
          <w:i w:val="false"/>
          <w:iCs w:val="false"/>
          <w:color w:val="30343B"/>
          <w:sz w:val="21"/>
          <w:szCs w:val="21"/>
        </w:rPr>
        <w:t xml:space="preserve">Avant la ménopause, le risque d'infarctus est plus faible chez la femme que chez l'homme ; après la ménopause, ce risque augmente et rejoint celui de l'homme. Cette hausse est liée à l'âge et à la carence en estrogènes : augmentation du cholestérol LDL et des triglycérides, perturbation de la régulation de la glycémie, altérations de la paroi vasculaire, hypertension et prise de poids chez certaines femmes.</w:t>
      </w:r>
    </w:p>
    <w:p>
      <w:pPr>
        <w:spacing w:after="150" w:line="320"/>
      </w:pPr>
      <w:r>
        <w:rPr>
          <w:rFonts w:ascii="Manrope" w:cs="Manrope" w:eastAsia="Manrope" w:hAnsi="Manrope"/>
          <w:b w:val="false"/>
          <w:bCs w:val="false"/>
          <w:i w:val="false"/>
          <w:iCs w:val="false"/>
          <w:color w:val="30343B"/>
          <w:sz w:val="21"/>
          <w:szCs w:val="21"/>
        </w:rPr>
        <w:t xml:space="preserve">Un THM débuté précocement, dans les 10 premières années de la ménopause (« fenêtre d'intervention thérapeutique »), semble avoir un effet favorable de prévention de l'athérome ; passé ce délai, ou chez les femmes à haut risque vasculaire, il peut au contraire être délétère.</w:t>
      </w:r>
    </w:p>
    <w:p>
      <w:pPr>
        <w:spacing w:after="130" w:before="280"/>
      </w:pPr>
      <w:r>
        <w:rPr>
          <w:rFonts w:ascii="Cormorant Garamond" w:cs="Cormorant Garamond" w:eastAsia="Cormorant Garamond" w:hAnsi="Cormorant Garamond"/>
          <w:i w:val="false"/>
          <w:iCs w:val="false"/>
          <w:color w:val="B66B5C"/>
          <w:sz w:val="27"/>
          <w:szCs w:val="27"/>
        </w:rPr>
        <w:t xml:space="preserve">3 — Les fonctions cognitives</w:t>
      </w:r>
    </w:p>
    <w:p>
      <w:pPr>
        <w:spacing w:after="150" w:line="320"/>
      </w:pPr>
      <w:r>
        <w:rPr>
          <w:rFonts w:ascii="Manrope" w:cs="Manrope" w:eastAsia="Manrope" w:hAnsi="Manrope"/>
          <w:b w:val="false"/>
          <w:bCs w:val="false"/>
          <w:i w:val="false"/>
          <w:iCs w:val="false"/>
          <w:color w:val="30343B"/>
          <w:sz w:val="21"/>
          <w:szCs w:val="21"/>
        </w:rPr>
        <w:t xml:space="preserve">La carence en estrogènes est suspectée de contribuer à une dégradation des fonctions cognitives (mémorisation, performances verbales, raisonnement abstrait) et à un risque accru de maladie d'Alzheimer, bien qu'il soit difficile de distinguer l'effet de la ménopause de celui du vieillissement normal. Une IOP ou une ménopause avancée majore le risque de déclin cognitif ; un traitement estrogénique au moins jusqu'à 50 ans annule ce sur-risque dans les études d'observation.</w:t>
      </w:r>
    </w:p>
    <w:p>
      <w:pPr>
        <w:spacing w:after="100" w:line="280"/>
      </w:pPr>
      <w:r>
        <w:rPr>
          <w:rFonts w:ascii="Manrope" w:cs="Manrope" w:eastAsia="Manrope" w:hAnsi="Manrope"/>
          <w:i/>
          <w:iCs/>
          <w:color w:val="7A756E"/>
          <w:sz w:val="17"/>
          <w:szCs w:val="17"/>
        </w:rPr>
        <w:t xml:space="preserve">Source : Fiche d'information SFM-GEMVi, avril 2025.</w:t>
      </w:r>
    </w:p>
    <w:p>
      <w:r>
        <w:br w:type="page"/>
      </w:r>
    </w:p>
    <w:p>
      <w:pPr>
        <w:spacing w:after="60" w:before="260"/>
      </w:pPr>
      <w:r>
        <w:rPr>
          <w:rFonts w:ascii="Manrope" w:cs="Manrope" w:eastAsia="Manrope" w:hAnsi="Manrope"/>
          <w:b w:val="false"/>
          <w:bCs w:val="false"/>
          <w:color w:val="B9985A"/>
          <w:spacing w:val="40"/>
          <w:sz w:val="15"/>
          <w:szCs w:val="15"/>
        </w:rPr>
        <w:t xml:space="preserve">REGARD SCIENTIFIQUE</w:t>
      </w:r>
    </w:p>
    <w:p>
      <w:pPr>
        <w:pStyle w:val="Heading1"/>
        <w:spacing w:after="100"/>
      </w:pPr>
      <w:r>
        <w:rPr>
          <w:rFonts w:ascii="Cormorant Garamond" w:cs="Cormorant Garamond" w:eastAsia="Cormorant Garamond" w:hAnsi="Cormorant Garamond"/>
          <w:b w:val="false"/>
          <w:bCs w:val="false"/>
          <w:color w:val="5E7D6A"/>
          <w:sz w:val="40"/>
          <w:szCs w:val="40"/>
        </w:rPr>
        <w:t xml:space="preserve">Que dit la recherche actuelle ?</w:t>
      </w:r>
    </w:p>
    <w:p>
      <w:pPr>
        <w:pBdr>
          <w:bottom w:val="single" w:color="B9985A" w:sz="4" w:space="1"/>
        </w:pBdr>
        <w:spacing w:after="160"/>
      </w:pPr>
      <w:r>
        <w:rPr>
          <w:sz w:val="2"/>
          <w:szCs w:val="2"/>
        </w:rPr>
        <w:t xml:space="preserve"/>
      </w:r>
    </w:p>
    <w:p>
      <w:pPr>
        <w:spacing w:after="130" w:before="280"/>
      </w:pPr>
      <w:r>
        <w:rPr>
          <w:rFonts w:ascii="Cormorant Garamond" w:cs="Cormorant Garamond" w:eastAsia="Cormorant Garamond" w:hAnsi="Cormorant Garamond"/>
          <w:i w:val="false"/>
          <w:iCs w:val="false"/>
          <w:color w:val="B66B5C"/>
          <w:sz w:val="27"/>
          <w:szCs w:val="27"/>
        </w:rPr>
        <w:t xml:space="preserve">L'étude WHI de 2002 : un contexte à connaître</w:t>
      </w:r>
    </w:p>
    <w:p>
      <w:pPr>
        <w:spacing w:after="150" w:line="320"/>
      </w:pPr>
      <w:r>
        <w:rPr>
          <w:rFonts w:ascii="Manrope" w:cs="Manrope" w:eastAsia="Manrope" w:hAnsi="Manrope"/>
          <w:b w:val="false"/>
          <w:bCs w:val="false"/>
          <w:i w:val="false"/>
          <w:iCs w:val="false"/>
          <w:color w:val="30343B"/>
          <w:sz w:val="21"/>
          <w:szCs w:val="21"/>
        </w:rPr>
        <w:t xml:space="preserve">En 2002, l'utilisation du traitement hormonal de la ménopause (THM) a été largement remise en question à la suite de l'étude américaine Women's Health Initiative (WHI). Cette étude comparait des estrogènes conjugués équins (ECE) par voie orale — extraits d'urine de juments gravides — associés à un progestatif de synthèse non utilisé en France (l'acétate de médroxyprogestérone), à un placebo. Elle a montré une augmentation du cancer du sein, des infarctus, des AVC et du risque thrombo-embolique veineux.</w:t>
      </w:r>
    </w:p>
    <w:p>
      <w:pPr>
        <w:spacing w:after="150" w:line="320"/>
      </w:pPr>
      <w:r>
        <w:rPr>
          <w:rFonts w:ascii="Manrope" w:cs="Manrope" w:eastAsia="Manrope" w:hAnsi="Manrope"/>
          <w:b w:val="false"/>
          <w:bCs w:val="false"/>
          <w:i w:val="false"/>
          <w:iCs w:val="false"/>
          <w:color w:val="30343B"/>
          <w:sz w:val="21"/>
          <w:szCs w:val="21"/>
        </w:rPr>
        <w:t xml:space="preserve">Cette étude portait cependant sur des femmes majoritairement à distance de leur ménopause (plus de 10 ans), d'âge moyen 63 ans, dont les deux tiers étaient en surpoids (dont un tiers d'obèses) — ce qui explique en partie la fréquence des accidents cardiovasculaires observés. Des analyses plus fines menées depuis montrent qu'un THM démarré avant 60 ans, dans les 10 ans suivant l'installation de la ménopause, serait au contraire bénéfique sur le plan cardiovasculaire et sur la mortalité.</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pct" w:w="100%"/>
            <w:shd w:fill="F3E8D8" w:val="clear"/>
            <w:tcMar>
              <w:top w:type="dxa" w:w="220"/>
              <w:left w:type="dxa" w:w="280"/>
              <w:bottom w:type="dxa" w:w="220"/>
              <w:right w:type="dxa" w:w="280"/>
            </w:tcMar>
          </w:tcPr>
          <w:p>
            <w:pPr>
              <w:spacing w:after="60"/>
            </w:pPr>
            <w:r>
              <w:rPr>
                <w:rFonts w:ascii="Cormorant Garamond" w:cs="Cormorant Garamond" w:eastAsia="Cormorant Garamond" w:hAnsi="Cormorant Garamond"/>
                <w:color w:val="30343B"/>
                <w:sz w:val="25"/>
                <w:szCs w:val="25"/>
              </w:rPr>
              <w:t xml:space="preserve">En conclusion (SFM-GEMVi, 2025)</w:t>
            </w:r>
          </w:p>
          <w:p>
            <w:pPr>
              <w:spacing w:after="60" w:line="290"/>
            </w:pPr>
            <w:r>
              <w:rPr>
                <w:rFonts w:ascii="Manrope" w:cs="Manrope" w:eastAsia="Manrope" w:hAnsi="Manrope"/>
                <w:color w:val="30343B"/>
                <w:sz w:val="19"/>
                <w:szCs w:val="19"/>
              </w:rPr>
              <w:t xml:space="preserve">Le THM a été rejeté en 2002 après la publication de l'étude WHI, dont il faut souligner que, malgré sa qualité, elle n'a jamais été une étude sur le traitement de la ménopause mais plutôt sur l'intérêt éventuel du THM pour prévenir le vieillissement vasculaire et osseux de la femme âgée.</w:t>
            </w:r>
          </w:p>
          <w:p>
            <w:pPr>
              <w:spacing w:after="60" w:line="290"/>
            </w:pPr>
            <w:r>
              <w:rPr>
                <w:rFonts w:ascii="Manrope" w:cs="Manrope" w:eastAsia="Manrope" w:hAnsi="Manrope"/>
                <w:color w:val="30343B"/>
                <w:sz w:val="19"/>
                <w:szCs w:val="19"/>
              </w:rPr>
              <w:t xml:space="preserve">En 2025, toutes les sociétés savantes de ménopause reconnaissent que la balance bénéfices/risques du THM est favorable chez la majorité des femmes de 50 à 60 ans (ou de moins de 10 ans de ménopause) en l'absence de contre-indication.</w:t>
            </w:r>
          </w:p>
        </w:tc>
      </w:tr>
    </w:tbl>
    <w:p>
      <w:pPr>
        <w:spacing w:after="150" w:line="320"/>
      </w:pPr>
      <w:r>
        <w:rPr>
          <w:rFonts w:ascii="Manrope" w:cs="Manrope" w:eastAsia="Manrope" w:hAnsi="Manrope"/>
          <w:b w:val="false"/>
          <w:bCs w:val="false"/>
          <w:i/>
          <w:iCs/>
          <w:color w:val="30343B"/>
          <w:sz w:val="21"/>
          <w:szCs w:val="21"/>
        </w:rPr>
        <w:t xml:space="preserve">Un déficit de formation initiale sur la ménopause reste par ailleurs fréquent chez les praticiens (constaté aux États-Unis comme en France), ce qui peut expliquer que certains médecins se sentent peu à l'aise pour aborder ce sujet.</w:t>
      </w:r>
    </w:p>
    <w:p>
      <w:r>
        <w:br w:type="page"/>
      </w:r>
    </w:p>
    <w:p>
      <w:pPr>
        <w:spacing w:after="60" w:before="260"/>
      </w:pPr>
      <w:r>
        <w:rPr>
          <w:rFonts w:ascii="Manrope" w:cs="Manrope" w:eastAsia="Manrope" w:hAnsi="Manrope"/>
          <w:b w:val="false"/>
          <w:bCs w:val="false"/>
          <w:color w:val="B9985A"/>
          <w:spacing w:val="40"/>
          <w:sz w:val="15"/>
          <w:szCs w:val="15"/>
        </w:rPr>
        <w:t xml:space="preserve">GUIDE DR HAVER</w:t>
      </w:r>
    </w:p>
    <w:p>
      <w:pPr>
        <w:pStyle w:val="Heading1"/>
        <w:spacing w:after="100"/>
      </w:pPr>
      <w:r>
        <w:rPr>
          <w:rFonts w:ascii="Cormorant Garamond" w:cs="Cormorant Garamond" w:eastAsia="Cormorant Garamond" w:hAnsi="Cormorant Garamond"/>
          <w:b w:val="false"/>
          <w:bCs w:val="false"/>
          <w:color w:val="5E7D6A"/>
          <w:sz w:val="40"/>
          <w:szCs w:val="40"/>
        </w:rPr>
        <w:t xml:space="preserve">Se préparer pour son rendez-vous médical</w:t>
      </w:r>
    </w:p>
    <w:p>
      <w:pPr>
        <w:pBdr>
          <w:bottom w:val="single" w:color="B9985A" w:sz="4" w:space="1"/>
        </w:pBdr>
        <w:spacing w:after="160"/>
      </w:pPr>
      <w:r>
        <w:rPr>
          <w:sz w:val="2"/>
          <w:szCs w:val="2"/>
        </w:rPr>
        <w:t xml:space="preserve"/>
      </w:r>
    </w:p>
    <w:p>
      <w:pPr>
        <w:pStyle w:val="ListParagraph"/>
        <w:numPr>
          <w:ilvl w:val="0"/>
          <w:numId w:val="3"/>
        </w:numPr>
        <w:spacing w:after="110" w:line="300"/>
      </w:pPr>
      <w:r>
        <w:rPr>
          <w:rFonts w:ascii="Manrope" w:cs="Manrope" w:eastAsia="Manrope" w:hAnsi="Manrope"/>
          <w:color w:val="30343B"/>
          <w:sz w:val="21"/>
          <w:szCs w:val="21"/>
        </w:rPr>
        <w:t xml:space="preserve">Essayez de prendre le tout premier rendez-vous de la matinée. Prévenez le secrétariat des sujets à aborder pour qu'un temps suffisant soit prévu.</w:t>
      </w:r>
    </w:p>
    <w:p>
      <w:pPr>
        <w:pStyle w:val="ListParagraph"/>
        <w:numPr>
          <w:ilvl w:val="0"/>
          <w:numId w:val="3"/>
        </w:numPr>
        <w:spacing w:after="110" w:line="300"/>
      </w:pPr>
      <w:r>
        <w:rPr>
          <w:rFonts w:ascii="Manrope" w:cs="Manrope" w:eastAsia="Manrope" w:hAnsi="Manrope"/>
          <w:color w:val="30343B"/>
          <w:sz w:val="21"/>
          <w:szCs w:val="21"/>
        </w:rPr>
        <w:t xml:space="preserve">Si des prises de sang sont prévues, demandez si un jeûne est nécessaire pour éviter un report des examens.</w:t>
      </w:r>
    </w:p>
    <w:p>
      <w:pPr>
        <w:pStyle w:val="ListParagraph"/>
        <w:numPr>
          <w:ilvl w:val="0"/>
          <w:numId w:val="3"/>
        </w:numPr>
        <w:spacing w:after="110" w:line="300"/>
      </w:pPr>
      <w:r>
        <w:rPr>
          <w:rFonts w:ascii="Manrope" w:cs="Manrope" w:eastAsia="Manrope" w:hAnsi="Manrope"/>
          <w:color w:val="30343B"/>
          <w:sz w:val="21"/>
          <w:szCs w:val="21"/>
        </w:rPr>
        <w:t xml:space="preserve">Notez vos antécédents familiaux (maladies, quel proche, à quel âge) : ils peuvent orienter le choix d'un traitement adapté.</w:t>
      </w:r>
    </w:p>
    <w:p>
      <w:pPr>
        <w:pStyle w:val="ListParagraph"/>
        <w:numPr>
          <w:ilvl w:val="0"/>
          <w:numId w:val="3"/>
        </w:numPr>
        <w:spacing w:after="110" w:line="300"/>
      </w:pPr>
      <w:r>
        <w:rPr>
          <w:rFonts w:ascii="Manrope" w:cs="Manrope" w:eastAsia="Manrope" w:hAnsi="Manrope"/>
          <w:color w:val="30343B"/>
          <w:sz w:val="21"/>
          <w:szCs w:val="21"/>
        </w:rPr>
        <w:t xml:space="preserve">Tenez un journal de vos symptômes : nouvelles douleurs, fatigue, chute de cheveux, prise ou perte de poids, constipation, troubles de la mémoire, humeur, etc.</w:t>
      </w:r>
    </w:p>
    <w:p>
      <w:pPr>
        <w:pStyle w:val="ListParagraph"/>
        <w:numPr>
          <w:ilvl w:val="0"/>
          <w:numId w:val="3"/>
        </w:numPr>
        <w:spacing w:after="110" w:line="300"/>
      </w:pPr>
      <w:r>
        <w:rPr>
          <w:rFonts w:ascii="Manrope" w:cs="Manrope" w:eastAsia="Manrope" w:hAnsi="Manrope"/>
          <w:color w:val="30343B"/>
          <w:sz w:val="21"/>
          <w:szCs w:val="21"/>
        </w:rPr>
        <w:t xml:space="preserve">Notez les examens que vous souhaitez demander (voir la checklist ci-après) et les symptômes associés.</w:t>
      </w:r>
    </w:p>
    <w:p>
      <w:pPr>
        <w:pStyle w:val="ListParagraph"/>
        <w:numPr>
          <w:ilvl w:val="0"/>
          <w:numId w:val="3"/>
        </w:numPr>
        <w:spacing w:after="110" w:line="300"/>
      </w:pPr>
      <w:r>
        <w:rPr>
          <w:rFonts w:ascii="Manrope" w:cs="Manrope" w:eastAsia="Manrope" w:hAnsi="Manrope"/>
          <w:color w:val="30343B"/>
          <w:sz w:val="21"/>
          <w:szCs w:val="21"/>
        </w:rPr>
        <w:t xml:space="preserve">Réfléchissez à vos préférences : traitement hormonal, approche non hormonale, changements de mode de vie — c'est votre choix, en discussion avec votre médecin.</w:t>
      </w:r>
    </w:p>
    <w:p>
      <w:pPr>
        <w:spacing w:after="150" w:line="320"/>
      </w:pPr>
      <w:r>
        <w:rPr>
          <w:rFonts w:ascii="Manrope" w:cs="Manrope" w:eastAsia="Manrope" w:hAnsi="Manrope"/>
          <w:b w:val="false"/>
          <w:bCs w:val="false"/>
          <w:i w:val="false"/>
          <w:iCs w:val="false"/>
          <w:color w:val="30343B"/>
          <w:sz w:val="21"/>
          <w:szCs w:val="21"/>
        </w:rPr>
        <w:t xml:space="preserve">Privilégiez si possible une consultation dédiée à la ménopause, distincte du suivi gynécologique de routine (frottis, mammographie), qui répond à un objectif différent.</w:t>
      </w:r>
    </w:p>
    <w:p>
      <w:pPr>
        <w:spacing w:after="150" w:line="320"/>
      </w:pPr>
      <w:r>
        <w:rPr>
          <w:rFonts w:ascii="Manrope" w:cs="Manrope" w:eastAsia="Manrope" w:hAnsi="Manrope"/>
          <w:b w:val="false"/>
          <w:bCs w:val="false"/>
          <w:i w:val="false"/>
          <w:iCs w:val="false"/>
          <w:color w:val="30343B"/>
          <w:sz w:val="21"/>
          <w:szCs w:val="21"/>
        </w:rPr>
        <w:t xml:space="preserve">Votre gynécologue habituel n'a pas nécessairement reçu de formation approfondie sur la ménopause : n'hésitez pas à consulter un praticien spécialisé si besoin (voir ressources en fin de guide, dont l'annuaire GEMVi).</w:t>
      </w:r>
    </w:p>
    <w:p>
      <w:r>
        <w:br w:type="page"/>
      </w:r>
    </w:p>
    <w:p>
      <w:pPr>
        <w:spacing w:after="60" w:before="260"/>
      </w:pPr>
      <w:r>
        <w:rPr>
          <w:rFonts w:ascii="Manrope" w:cs="Manrope" w:eastAsia="Manrope" w:hAnsi="Manrope"/>
          <w:b w:val="false"/>
          <w:bCs w:val="false"/>
          <w:color w:val="B9985A"/>
          <w:spacing w:val="40"/>
          <w:sz w:val="15"/>
          <w:szCs w:val="15"/>
        </w:rPr>
        <w:t xml:space="preserve">PRÉPARATION CLINIQUE</w:t>
      </w:r>
    </w:p>
    <w:p>
      <w:pPr>
        <w:pStyle w:val="Heading1"/>
        <w:spacing w:after="100"/>
      </w:pPr>
      <w:r>
        <w:rPr>
          <w:rFonts w:ascii="Cormorant Garamond" w:cs="Cormorant Garamond" w:eastAsia="Cormorant Garamond" w:hAnsi="Cormorant Garamond"/>
          <w:b w:val="false"/>
          <w:bCs w:val="false"/>
          <w:color w:val="5E7D6A"/>
          <w:sz w:val="40"/>
          <w:szCs w:val="40"/>
        </w:rPr>
        <w:t xml:space="preserve">Checklist des bilans à discuter</w:t>
      </w:r>
    </w:p>
    <w:p>
      <w:pPr>
        <w:pBdr>
          <w:bottom w:val="single" w:color="B9985A" w:sz="4" w:space="1"/>
        </w:pBdr>
        <w:spacing w:after="160"/>
      </w:pPr>
      <w:r>
        <w:rPr>
          <w:sz w:val="2"/>
          <w:szCs w:val="2"/>
        </w:rPr>
        <w:t xml:space="preserve"/>
      </w:r>
    </w:p>
    <w:p>
      <w:pPr>
        <w:spacing w:after="150" w:line="320"/>
      </w:pPr>
      <w:r>
        <w:rPr>
          <w:rFonts w:ascii="Manrope" w:cs="Manrope" w:eastAsia="Manrope" w:hAnsi="Manrope"/>
          <w:b w:val="false"/>
          <w:bCs w:val="false"/>
          <w:i/>
          <w:iCs/>
          <w:color w:val="30343B"/>
          <w:sz w:val="21"/>
          <w:szCs w:val="21"/>
        </w:rPr>
        <w:t xml:space="preserve">Cette liste est un support de discussion — elle ne remplace pas une prescription. La SFM-GEMVi recommande un bilan biologique pour dépister un diabète ou une dyslipidémie en début de ménopause, à répéter selon les facteurs de risque et la prise ou non d'un THM.</w:t>
      </w:r>
    </w:p>
    <w:p>
      <w:pPr>
        <w:spacing w:after="130" w:before="280"/>
      </w:pPr>
      <w:r>
        <w:rPr>
          <w:rFonts w:ascii="Cormorant Garamond" w:cs="Cormorant Garamond" w:eastAsia="Cormorant Garamond" w:hAnsi="Cormorant Garamond"/>
          <w:i w:val="false"/>
          <w:iCs w:val="false"/>
          <w:color w:val="B66B5C"/>
          <w:sz w:val="27"/>
          <w:szCs w:val="27"/>
        </w:rPr>
        <w:t xml:space="preserve">Bilan recommandé en début de ménopause (SFM-GEMVi)</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Glycémie à jeun et bilan lipidique (cholestérol total, LDL, HDL, triglycérides) — pour dépister un diabète ou une dyslipidémie.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Ostéodensitométrie (DEXA) — surtout en cas de facteurs de risque d'ostéoporose.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Bilan osseux complémentaire et radiographie du rachis de profil, ou morphométrie vertébrale (VFA), si indiqué.</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Échographie pelvienne en cas de signes d'appel (douleurs, saignements anormaux).</w:t>
      </w:r>
    </w:p>
    <w:p>
      <w:pPr>
        <w:spacing w:after="130" w:before="280"/>
      </w:pPr>
      <w:r>
        <w:rPr>
          <w:rFonts w:ascii="Cormorant Garamond" w:cs="Cormorant Garamond" w:eastAsia="Cormorant Garamond" w:hAnsi="Cormorant Garamond"/>
          <w:i w:val="false"/>
          <w:iCs w:val="false"/>
          <w:color w:val="B66B5C"/>
          <w:sz w:val="27"/>
          <w:szCs w:val="27"/>
        </w:rPr>
        <w:t xml:space="preserve">Bilans complémentaires possibles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200"/>
        <w:gridCol w:w="3800"/>
        <w:gridCol w:w="3000"/>
      </w:tblGrid>
      <w:tr>
        <w:tc>
          <w:tcPr>
            <w:tcW w:type="pct" w:w="32%"/>
            <w:shd w:fill="5E7D6A" w:val="clear"/>
            <w:tcMar>
              <w:top w:type="dxa" w:w="90"/>
              <w:left w:type="dxa" w:w="110"/>
              <w:bottom w:type="dxa" w:w="90"/>
              <w:right w:type="dxa" w:w="110"/>
            </w:tcMar>
          </w:tcPr>
          <w:p>
            <w:r>
              <w:rPr>
                <w:rFonts w:ascii="Manrope" w:cs="Manrope" w:eastAsia="Manrope" w:hAnsi="Manrope"/>
                <w:b/>
                <w:bCs/>
                <w:color w:val="FFFFFF"/>
                <w:sz w:val="18"/>
                <w:szCs w:val="18"/>
              </w:rPr>
              <w:t xml:space="preserve">Bilan / marqueur</w:t>
            </w:r>
          </w:p>
        </w:tc>
        <w:tc>
          <w:tcPr>
            <w:tcW w:type="pct" w:w="38%"/>
            <w:shd w:fill="5E7D6A" w:val="clear"/>
            <w:tcMar>
              <w:top w:type="dxa" w:w="90"/>
              <w:left w:type="dxa" w:w="110"/>
              <w:bottom w:type="dxa" w:w="90"/>
              <w:right w:type="dxa" w:w="110"/>
            </w:tcMar>
          </w:tcPr>
          <w:p>
            <w:r>
              <w:rPr>
                <w:rFonts w:ascii="Manrope" w:cs="Manrope" w:eastAsia="Manrope" w:hAnsi="Manrope"/>
                <w:b/>
                <w:bCs/>
                <w:color w:val="FFFFFF"/>
                <w:sz w:val="18"/>
                <w:szCs w:val="18"/>
              </w:rPr>
              <w:t xml:space="preserve">Pourquoi c'est utile</w:t>
            </w:r>
          </w:p>
        </w:tc>
        <w:tc>
          <w:tcPr>
            <w:tcW w:type="pct" w:w="30%"/>
            <w:shd w:fill="5E7D6A" w:val="clear"/>
            <w:tcMar>
              <w:top w:type="dxa" w:w="90"/>
              <w:left w:type="dxa" w:w="110"/>
              <w:bottom w:type="dxa" w:w="90"/>
              <w:right w:type="dxa" w:w="110"/>
            </w:tcMar>
          </w:tcPr>
          <w:p>
            <w:r>
              <w:rPr>
                <w:rFonts w:ascii="Manrope" w:cs="Manrope" w:eastAsia="Manrope" w:hAnsi="Manrope"/>
                <w:b/>
                <w:bCs/>
                <w:color w:val="FFFFFF"/>
                <w:sz w:val="18"/>
                <w:szCs w:val="18"/>
              </w:rPr>
              <w:t xml:space="preserve">Remarque pratique</w:t>
            </w:r>
          </w:p>
        </w:tc>
      </w:tr>
      <w:tr>
        <w:tc>
          <w:tcPr>
            <w:tcW w:type="pct" w:w="32%"/>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Vitamine D</w:t>
            </w:r>
          </w:p>
        </w:tc>
        <w:tc>
          <w:tcPr>
            <w:tcW w:type="pct" w:w="38%"/>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Carences fréquentes ; essentielle à l'absorption du calcium et à la santé osseuse.</w:t>
            </w:r>
          </w:p>
        </w:tc>
        <w:tc>
          <w:tcPr>
            <w:tcW w:type="pct" w:w="30%"/>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Discuter du dosage avec le médecin.</w:t>
            </w:r>
          </w:p>
        </w:tc>
      </w:tr>
      <w:tr>
        <w:tc>
          <w:tcPr>
            <w:tcW w:type="pct" w:w="32%"/>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TSH (± T4 libre)</w:t>
            </w:r>
          </w:p>
        </w:tc>
        <w:tc>
          <w:tcPr>
            <w:tcW w:type="pct" w:w="38%"/>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Une thyroïde sous- ou hyperactive peut mimer les symptômes de la ménopause.</w:t>
            </w:r>
          </w:p>
        </w:tc>
        <w:tc>
          <w:tcPr>
            <w:tcW w:type="pct" w:w="30%"/>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Prescrit sur signes d'appel.</w:t>
            </w:r>
          </w:p>
        </w:tc>
      </w:tr>
      <w:tr>
        <w:tc>
          <w:tcPr>
            <w:tcW w:type="pct" w:w="32%"/>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Ferritine ± bilan martial</w:t>
            </w:r>
          </w:p>
        </w:tc>
        <w:tc>
          <w:tcPr>
            <w:tcW w:type="pct" w:w="38%"/>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Des règles abondantes avant la ménopause peuvent épuiser les réserves de fer.</w:t>
            </w:r>
          </w:p>
        </w:tc>
        <w:tc>
          <w:tcPr>
            <w:tcW w:type="pct" w:w="30%"/>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Utile en cas de fatigue inexpliquée.</w:t>
            </w:r>
          </w:p>
        </w:tc>
      </w:tr>
      <w:tr>
        <w:tc>
          <w:tcPr>
            <w:tcW w:type="pct" w:w="32%"/>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Estradiol, FSH</w:t>
            </w:r>
          </w:p>
        </w:tc>
        <w:tc>
          <w:tcPr>
            <w:tcW w:type="pct" w:w="38%"/>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Aide à situer le stade de la transition, notamment sans règles.</w:t>
            </w:r>
          </w:p>
        </w:tc>
        <w:tc>
          <w:tcPr>
            <w:tcW w:type="pct" w:w="30%"/>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Utile dans certains cas précis.</w:t>
            </w:r>
          </w:p>
        </w:tc>
      </w:tr>
      <w:tr>
        <w:tc>
          <w:tcPr>
            <w:tcW w:type="pct" w:w="32%"/>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Testostérone totale/libre</w:t>
            </w:r>
          </w:p>
        </w:tc>
        <w:tc>
          <w:tcPr>
            <w:tcW w:type="pct" w:w="38%"/>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Peut orienter sur une baisse de libido ou d'énergie.</w:t>
            </w:r>
          </w:p>
        </w:tc>
        <w:tc>
          <w:tcPr>
            <w:tcW w:type="pct" w:w="30%"/>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Aucune spécialité approuvée pour la femme en France.</w:t>
            </w:r>
          </w:p>
        </w:tc>
      </w:tr>
      <w:tr>
        <w:tc>
          <w:tcPr>
            <w:tcW w:type="pct" w:w="32%"/>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CRP ultrasensible</w:t>
            </w:r>
          </w:p>
        </w:tc>
        <w:tc>
          <w:tcPr>
            <w:tcW w:type="pct" w:w="38%"/>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Marqueur d'inflammation, utile en suivi.</w:t>
            </w:r>
          </w:p>
        </w:tc>
        <w:tc>
          <w:tcPr>
            <w:tcW w:type="pct" w:w="30%"/>
            <w:shd w:fill="FFFFFF" w:val="clear"/>
            <w:tcMar>
              <w:top w:type="dxa" w:w="90"/>
              <w:left w:type="dxa" w:w="110"/>
              <w:bottom w:type="dxa" w:w="90"/>
              <w:right w:type="dxa" w:w="110"/>
            </w:tcMar>
          </w:tcPr>
          <w:p>
            <w:r>
              <w:rPr>
                <w:rFonts w:ascii="Manrope" w:cs="Manrope" w:eastAsia="Manrope" w:hAnsi="Manrope"/>
                <w:b w:val="false"/>
                <w:bCs w:val="false"/>
                <w:color w:val="30343B"/>
                <w:sz w:val="18"/>
                <w:szCs w:val="18"/>
              </w:rPr>
              <w:t xml:space="preserve">Non spécifique.</w:t>
            </w:r>
          </w:p>
        </w:tc>
      </w:tr>
    </w:tbl>
    <w:p>
      <w:pPr>
        <w:spacing w:after="100" w:line="280"/>
      </w:pPr>
      <w:r>
        <w:rPr>
          <w:rFonts w:ascii="Manrope" w:cs="Manrope" w:eastAsia="Manrope" w:hAnsi="Manrope"/>
          <w:i/>
          <w:iCs/>
          <w:color w:val="7A756E"/>
          <w:sz w:val="17"/>
          <w:szCs w:val="17"/>
        </w:rPr>
        <w:t xml:space="preserve">Sources : Fiche SFM-GEMVi et adaptation du guide Dr Haver. Vérifiez les conditions de prescription et de remboursement avec votre médecin ou sur ameli.fr.</w:t>
      </w:r>
    </w:p>
    <w:p>
      <w:r>
        <w:br w:type="page"/>
      </w:r>
    </w:p>
    <w:p>
      <w:pPr>
        <w:spacing w:after="60" w:before="260"/>
      </w:pPr>
      <w:r>
        <w:rPr>
          <w:rFonts w:ascii="Manrope" w:cs="Manrope" w:eastAsia="Manrope" w:hAnsi="Manrope"/>
          <w:b w:val="false"/>
          <w:bCs w:val="false"/>
          <w:color w:val="B9985A"/>
          <w:spacing w:val="40"/>
          <w:sz w:val="15"/>
          <w:szCs w:val="15"/>
        </w:rPr>
        <w:t xml:space="preserve">PLAIDOYER POUR SOI</w:t>
      </w:r>
    </w:p>
    <w:p>
      <w:pPr>
        <w:pStyle w:val="Heading1"/>
        <w:spacing w:after="100"/>
      </w:pPr>
      <w:r>
        <w:rPr>
          <w:rFonts w:ascii="Cormorant Garamond" w:cs="Cormorant Garamond" w:eastAsia="Cormorant Garamond" w:hAnsi="Cormorant Garamond"/>
          <w:b w:val="false"/>
          <w:bCs w:val="false"/>
          <w:color w:val="5E7D6A"/>
          <w:sz w:val="40"/>
          <w:szCs w:val="40"/>
        </w:rPr>
        <w:t xml:space="preserve">Que dire quand on ne vous écoute pas</w:t>
      </w:r>
    </w:p>
    <w:p>
      <w:pPr>
        <w:pBdr>
          <w:bottom w:val="single" w:color="B9985A" w:sz="4" w:space="1"/>
        </w:pBdr>
        <w:spacing w:after="160"/>
      </w:pPr>
      <w:r>
        <w:rPr>
          <w:sz w:val="2"/>
          <w:szCs w:val="2"/>
        </w:rPr>
        <w:t xml:space="preserve"/>
      </w:r>
    </w:p>
    <w:p>
      <w:pPr>
        <w:spacing w:after="150" w:line="320"/>
      </w:pPr>
      <w:r>
        <w:rPr>
          <w:rFonts w:ascii="Manrope" w:cs="Manrope" w:eastAsia="Manrope" w:hAnsi="Manrope"/>
          <w:b w:val="false"/>
          <w:bCs w:val="false"/>
          <w:i w:val="false"/>
          <w:iCs w:val="false"/>
          <w:color w:val="30343B"/>
          <w:sz w:val="21"/>
          <w:szCs w:val="21"/>
        </w:rPr>
        <w:t xml:space="preserve">Ces phrases, inspirées du guide du Dr Haver, peuvent vous aider à relancer la discussion si vos symptômes sont minimisés.</w:t>
      </w:r>
    </w:p>
    <w:p>
      <w:pPr>
        <w:spacing w:after="50" w:before="200"/>
      </w:pPr>
      <w:r>
        <w:rPr>
          <w:rFonts w:ascii="Cormorant Garamond" w:cs="Cormorant Garamond" w:eastAsia="Cormorant Garamond" w:hAnsi="Cormorant Garamond"/>
          <w:b w:val="false"/>
          <w:bCs w:val="false"/>
          <w:color w:val="B66B5C"/>
          <w:sz w:val="24"/>
          <w:szCs w:val="24"/>
        </w:rPr>
        <w:t xml:space="preserve">Quand les symptômes sont mis sur le compte de l'âge</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C'est normal, ça fait partie de vieillir.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Je comprends que l'âge apporte des changements, mais ce que je vis perturbe mon quotidien. J'aimerais qu'on regarde si des changements hormonaux pourraient être en cause et ce qu'on peut faire pour m'aider à me sentir mieux. »</w:t>
      </w:r>
    </w:p>
    <w:p>
      <w:pPr>
        <w:spacing w:after="50" w:before="200"/>
      </w:pPr>
      <w:r>
        <w:rPr>
          <w:rFonts w:ascii="Cormorant Garamond" w:cs="Cormorant Garamond" w:eastAsia="Cormorant Garamond" w:hAnsi="Cormorant Garamond"/>
          <w:b w:val="false"/>
          <w:bCs w:val="false"/>
          <w:color w:val="B66B5C"/>
          <w:sz w:val="24"/>
          <w:szCs w:val="24"/>
        </w:rPr>
        <w:t xml:space="preserve">Quand tout est attribué au stress</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C'est sûrement lié au stress ou au mode de vie.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Le stress joue peut-être un rôle, mais ces symptômes me semblent hormonaux. J'aimerais qu'on regarde si la périménopause pourrait expliquer ce qui se passe et discuter des options possibles. »</w:t>
      </w:r>
    </w:p>
    <w:p>
      <w:pPr>
        <w:spacing w:after="50" w:before="200"/>
      </w:pPr>
      <w:r>
        <w:rPr>
          <w:rFonts w:ascii="Cormorant Garamond" w:cs="Cormorant Garamond" w:eastAsia="Cormorant Garamond" w:hAnsi="Cormorant Garamond"/>
          <w:b w:val="false"/>
          <w:bCs w:val="false"/>
          <w:color w:val="B66B5C"/>
          <w:sz w:val="24"/>
          <w:szCs w:val="24"/>
        </w:rPr>
        <w:t xml:space="preserve">Quand on vous dit que vous êtes « trop jeune »</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Vous n'avez pas l'âge pour être ménopausée.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J'ai lu que la périménopause peut commencer dès la quarantaine, parfois avant. Ces symptômes correspondent à ce que je ressens, j'aimerais qu'on regarde où j'en suis dans cette transition. »</w:t>
      </w:r>
    </w:p>
    <w:p>
      <w:pPr>
        <w:spacing w:after="50" w:before="200"/>
      </w:pPr>
      <w:r>
        <w:rPr>
          <w:rFonts w:ascii="Cormorant Garamond" w:cs="Cormorant Garamond" w:eastAsia="Cormorant Garamond" w:hAnsi="Cormorant Garamond"/>
          <w:b w:val="false"/>
          <w:bCs w:val="false"/>
          <w:color w:val="B66B5C"/>
          <w:sz w:val="24"/>
          <w:szCs w:val="24"/>
        </w:rPr>
        <w:t xml:space="preserve">Quand des règles encore régulières sont utilisées pour écarter l'hypothèse hormonale</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Vous avez encore vos règles, donc ce n'est pas la ménopause.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Je sais que les fluctuations hormonales peuvent provoquer des symptômes bien avant l'arrêt des règles. J'aimerais qu'on parle de la périménopause et de son rôle possible dans ce que je ressens. »</w:t>
      </w:r>
    </w:p>
    <w:p>
      <w:pPr>
        <w:spacing w:after="50" w:before="200"/>
      </w:pPr>
      <w:r>
        <w:rPr>
          <w:rFonts w:ascii="Cormorant Garamond" w:cs="Cormorant Garamond" w:eastAsia="Cormorant Garamond" w:hAnsi="Cormorant Garamond"/>
          <w:b w:val="false"/>
          <w:bCs w:val="false"/>
          <w:color w:val="B66B5C"/>
          <w:sz w:val="24"/>
          <w:szCs w:val="24"/>
        </w:rPr>
        <w:t xml:space="preserve">Quand le traitement hormonal est refusé d'emblée</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Les hormones sont trop risquées, je ne les recommande pas.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J'ai lu que les sociétés savantes considèrent aujourd'hui que le THM est sûr et efficace pour la majorité des femmes. J'aimerais qu'on évalue ensemble si cela pourrait me convenir selon mes propres facteurs de risque. »</w:t>
      </w:r>
    </w:p>
    <w:p>
      <w:pPr>
        <w:spacing w:after="50" w:before="200"/>
      </w:pPr>
      <w:r>
        <w:rPr>
          <w:rFonts w:ascii="Cormorant Garamond" w:cs="Cormorant Garamond" w:eastAsia="Cormorant Garamond" w:hAnsi="Cormorant Garamond"/>
          <w:b w:val="false"/>
          <w:bCs w:val="false"/>
          <w:color w:val="B66B5C"/>
          <w:sz w:val="24"/>
          <w:szCs w:val="24"/>
        </w:rPr>
        <w:t xml:space="preserve">Quand les troubles de l'humeur sont qualifiés de dépression</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Cela ressemble à de l'anxiété ou une dépression, essayons un antidépresseur.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Je suis ouverte à traiter les troubles de l'humeur, mais j'aimerais aussi explorer le rôle possible des hormones. Peut-on regarder l'ensemble du tableau, y compris mon profil hormonal ? »</w:t>
      </w:r>
    </w:p>
    <w:p>
      <w:pPr>
        <w:spacing w:after="50" w:before="200"/>
      </w:pPr>
      <w:r>
        <w:rPr>
          <w:rFonts w:ascii="Cormorant Garamond" w:cs="Cormorant Garamond" w:eastAsia="Cormorant Garamond" w:hAnsi="Cormorant Garamond"/>
          <w:b w:val="false"/>
          <w:bCs w:val="false"/>
          <w:color w:val="B66B5C"/>
          <w:sz w:val="24"/>
          <w:szCs w:val="24"/>
        </w:rPr>
        <w:t xml:space="preserve">Quand vos symptômes sont minimisés comme « normaux »</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Toutes les femmes passent par là, ça fait partie de la vie.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Je sais que la ménopause est une étape universelle, mais cela ne veut pas dire que je dois en souffrir. Ces symptômes affectent ma qualité de vie et j'aimerais un accompagnement. »</w:t>
      </w:r>
    </w:p>
    <w:p>
      <w:pPr>
        <w:spacing w:after="50" w:before="200"/>
      </w:pPr>
      <w:r>
        <w:rPr>
          <w:rFonts w:ascii="Cormorant Garamond" w:cs="Cormorant Garamond" w:eastAsia="Cormorant Garamond" w:hAnsi="Cormorant Garamond"/>
          <w:b w:val="false"/>
          <w:bCs w:val="false"/>
          <w:color w:val="B66B5C"/>
          <w:sz w:val="24"/>
          <w:szCs w:val="24"/>
        </w:rPr>
        <w:t xml:space="preserve">Quand une ostéodensitométrie vous est refusée</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Vous n'avez pas encore l'âge pour un dépistage osseux.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Je comprends que la recommandation standard démarre plus tard, mais la perte osseuse peut débuter dès la périménopause. Avec mon âge, mes symptômes et mes facteurs de risque, j'aimerais évaluer ma santé osseuse dès maintenant plutôt que d'attendre une fracture. »</w:t>
      </w:r>
    </w:p>
    <w:p>
      <w:pPr>
        <w:spacing w:after="50" w:before="200"/>
      </w:pPr>
      <w:r>
        <w:rPr>
          <w:rFonts w:ascii="Cormorant Garamond" w:cs="Cormorant Garamond" w:eastAsia="Cormorant Garamond" w:hAnsi="Cormorant Garamond"/>
          <w:b w:val="false"/>
          <w:bCs w:val="false"/>
          <w:color w:val="B66B5C"/>
          <w:sz w:val="24"/>
          <w:szCs w:val="24"/>
        </w:rPr>
        <w:t xml:space="preserve">Quand un symptôme est jugé « non lié » à la ménopause</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Ce n'est pas vraiment un symptôme de la ménopause.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D'après ce que j'ai lu, la périménopause peut toucher plusieurs systèmes : sommeil, cognition, métabolisme, articulations. J'aimerais qu'on regarde si mes symptômes pourraient y être liés. »</w:t>
      </w:r>
    </w:p>
    <w:p>
      <w:pPr>
        <w:spacing w:after="50" w:before="200"/>
      </w:pPr>
      <w:r>
        <w:rPr>
          <w:rFonts w:ascii="Cormorant Garamond" w:cs="Cormorant Garamond" w:eastAsia="Cormorant Garamond" w:hAnsi="Cormorant Garamond"/>
          <w:b w:val="false"/>
          <w:bCs w:val="false"/>
          <w:color w:val="B66B5C"/>
          <w:sz w:val="24"/>
          <w:szCs w:val="24"/>
        </w:rPr>
        <w:t xml:space="preserve">Quand la prise de poids est traitée uniquement par des conseils diététiques génériques</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Il faudrait juste manger moins et bouger plus.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J'ai déjà fait des changements de mode de vie et je continue à avoir des difficultés. J'ai lu que la périménopause peut affecter le métabolisme et la composition corporelle. J'aimerais explorer d'autres pistes. »</w:t>
      </w:r>
    </w:p>
    <w:p>
      <w:pPr>
        <w:spacing w:after="50" w:before="200"/>
      </w:pPr>
      <w:r>
        <w:rPr>
          <w:rFonts w:ascii="Cormorant Garamond" w:cs="Cormorant Garamond" w:eastAsia="Cormorant Garamond" w:hAnsi="Cormorant Garamond"/>
          <w:b w:val="false"/>
          <w:bCs w:val="false"/>
          <w:color w:val="B66B5C"/>
          <w:sz w:val="24"/>
          <w:szCs w:val="24"/>
        </w:rPr>
        <w:t xml:space="preserve">Quand votre demande de soutien est accueillie par de la résistance</w:t>
      </w:r>
    </w:p>
    <w:p>
      <w:pPr>
        <w:spacing w:after="50"/>
      </w:pPr>
      <w:r>
        <w:rPr>
          <w:rFonts w:ascii="Manrope" w:cs="Manrope" w:eastAsia="Manrope" w:hAnsi="Manrope"/>
          <w:i/>
          <w:iCs/>
          <w:color w:val="7A756E"/>
          <w:sz w:val="19"/>
          <w:szCs w:val="19"/>
        </w:rPr>
        <w:t xml:space="preserve">Le médecin pourrait dire : </w:t>
      </w:r>
      <w:r>
        <w:rPr>
          <w:rFonts w:ascii="Cormorant Garamond" w:cs="Cormorant Garamond" w:eastAsia="Cormorant Garamond" w:hAnsi="Cormorant Garamond"/>
          <w:i/>
          <w:iCs/>
          <w:color w:val="7A756E"/>
          <w:sz w:val="21"/>
          <w:szCs w:val="21"/>
        </w:rPr>
        <w:t xml:space="preserve">« Il n'y a pas grand-chose à faire, ça va passer. »</w:t>
      </w:r>
    </w:p>
    <w:p>
      <w:pPr>
        <w:spacing w:after="180"/>
      </w:pPr>
      <w:r>
        <w:rPr>
          <w:rFonts w:ascii="Manrope" w:cs="Manrope" w:eastAsia="Manrope" w:hAnsi="Manrope"/>
          <w:b/>
          <w:bCs/>
          <w:color w:val="5E7D6A"/>
          <w:sz w:val="19"/>
          <w:szCs w:val="19"/>
        </w:rPr>
        <w:t xml:space="preserve">Ce que vous pouvez répondre : </w:t>
      </w:r>
      <w:r>
        <w:rPr>
          <w:rFonts w:ascii="Manrope" w:cs="Manrope" w:eastAsia="Manrope" w:hAnsi="Manrope"/>
          <w:color w:val="30343B"/>
          <w:sz w:val="19"/>
          <w:szCs w:val="19"/>
        </w:rPr>
        <w:t xml:space="preserve">« Je comprends que c'est une transition naturelle, mais cela ne veut pas dire que je dois la traverser sans accompagnement. J'aimerais qu'on travaille ensemble sur des solutions concrètes. »</w:t>
      </w:r>
    </w:p>
    <w:p>
      <w:pPr>
        <w:spacing w:after="150" w:line="320"/>
      </w:pPr>
      <w:r>
        <w:rPr>
          <w:rFonts w:ascii="Manrope" w:cs="Manrope" w:eastAsia="Manrope" w:hAnsi="Manrope"/>
          <w:b/>
          <w:bCs/>
          <w:i w:val="false"/>
          <w:iCs w:val="false"/>
          <w:color w:val="30343B"/>
          <w:sz w:val="21"/>
          <w:szCs w:val="21"/>
        </w:rPr>
        <w:t xml:space="preserve">La ménopause n'est pas seulement « prendre de l'âge ». C'est une occasion de protéger votre cœur, votre cerveau, vos os, votre métabolisme et votre qualité de vie pour les décennies à venir.</w:t>
      </w:r>
    </w:p>
    <w:p>
      <w:r>
        <w:br w:type="page"/>
      </w:r>
    </w:p>
    <w:p>
      <w:pPr>
        <w:spacing w:after="60" w:before="260"/>
      </w:pPr>
      <w:r>
        <w:rPr>
          <w:rFonts w:ascii="Manrope" w:cs="Manrope" w:eastAsia="Manrope" w:hAnsi="Manrope"/>
          <w:b w:val="false"/>
          <w:bCs w:val="false"/>
          <w:color w:val="B9985A"/>
          <w:spacing w:val="40"/>
          <w:sz w:val="15"/>
          <w:szCs w:val="15"/>
        </w:rPr>
        <w:t xml:space="preserve">THM EN FRANCE</w:t>
      </w:r>
    </w:p>
    <w:p>
      <w:pPr>
        <w:pStyle w:val="Heading1"/>
        <w:spacing w:after="100"/>
      </w:pPr>
      <w:r>
        <w:rPr>
          <w:rFonts w:ascii="Cormorant Garamond" w:cs="Cormorant Garamond" w:eastAsia="Cormorant Garamond" w:hAnsi="Cormorant Garamond"/>
          <w:b w:val="false"/>
          <w:bCs w:val="false"/>
          <w:color w:val="5E7D6A"/>
          <w:sz w:val="40"/>
          <w:szCs w:val="40"/>
        </w:rPr>
        <w:t xml:space="preserve">Le traitement hormonal de la ménopause</w:t>
      </w:r>
    </w:p>
    <w:p>
      <w:pPr>
        <w:pBdr>
          <w:bottom w:val="single" w:color="B9985A" w:sz="4" w:space="1"/>
        </w:pBdr>
        <w:spacing w:after="160"/>
      </w:pPr>
      <w:r>
        <w:rPr>
          <w:sz w:val="2"/>
          <w:szCs w:val="2"/>
        </w:rPr>
        <w:t xml:space="preserve"/>
      </w:r>
    </w:p>
    <w:p>
      <w:pPr>
        <w:spacing w:after="130" w:before="280"/>
      </w:pPr>
      <w:r>
        <w:rPr>
          <w:rFonts w:ascii="Cormorant Garamond" w:cs="Cormorant Garamond" w:eastAsia="Cormorant Garamond" w:hAnsi="Cormorant Garamond"/>
          <w:i w:val="false"/>
          <w:iCs w:val="false"/>
          <w:color w:val="B66B5C"/>
          <w:sz w:val="27"/>
          <w:szCs w:val="27"/>
        </w:rPr>
        <w:t xml:space="preserve">Le traitement de référence</w:t>
      </w:r>
    </w:p>
    <w:p>
      <w:pPr>
        <w:spacing w:after="150" w:line="320"/>
      </w:pPr>
      <w:r>
        <w:rPr>
          <w:rFonts w:ascii="Manrope" w:cs="Manrope" w:eastAsia="Manrope" w:hAnsi="Manrope"/>
          <w:b w:val="false"/>
          <w:bCs w:val="false"/>
          <w:i w:val="false"/>
          <w:iCs w:val="false"/>
          <w:color w:val="30343B"/>
          <w:sz w:val="21"/>
          <w:szCs w:val="21"/>
        </w:rPr>
        <w:t xml:space="preserve">L'association de l'estradiol (l'estrogène naturel de la femme) à de la progestérone naturelle ou à un dérivé proche (rétro-progestérone), avec l'estrogène appliqué par voie percutanée ou transdermique (gel, patch, spray), est le traitement de référence en France.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Chez la femme sans utérus (après hystérectomie), un traitement par estradiol seul, sans progestérone, est suffisant.</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Certains schémas permettent d'éviter les règles : estradiol et progestérone donnés de façon combinée, le même jour.</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Une prescription discontinue (par exemple 25 jours par mois) permet de réduire la quantité totale d'hormones prescrites.</w:t>
      </w:r>
    </w:p>
    <w:p>
      <w:pPr>
        <w:spacing w:after="150" w:line="320"/>
      </w:pPr>
      <w:r>
        <w:rPr>
          <w:rFonts w:ascii="Manrope" w:cs="Manrope" w:eastAsia="Manrope" w:hAnsi="Manrope"/>
          <w:b w:val="false"/>
          <w:bCs w:val="false"/>
          <w:i/>
          <w:iCs/>
          <w:color w:val="30343B"/>
          <w:sz w:val="21"/>
          <w:szCs w:val="21"/>
        </w:rPr>
        <w:t xml:space="preserve">Formes disponibles en France : gels et crèmes d'estrogène (ex. Oestrogel, Estreva), patchs (ex. Thais, Systen, Oesclim), comprimés oraux (ex. Provames, Estrofem), progestérone micronisée orale ou vaginale (ex. Utrogestan, Progestan), et traitements vaginaux locaux pour la sécheresse.</w:t>
      </w:r>
    </w:p>
    <w:p>
      <w:pPr>
        <w:spacing w:after="150" w:line="320"/>
      </w:pPr>
      <w:r>
        <w:rPr>
          <w:rFonts w:ascii="Manrope" w:cs="Manrope" w:eastAsia="Manrope" w:hAnsi="Manrope"/>
          <w:b w:val="false"/>
          <w:bCs w:val="false"/>
          <w:i/>
          <w:iCs/>
          <w:color w:val="30343B"/>
          <w:sz w:val="21"/>
          <w:szCs w:val="21"/>
        </w:rPr>
        <w:t xml:space="preserve">La testostérone soutient la libido et l'énergie mais décline en périménopause. Aucune spécialité de testostérone n'est à ce jour approuvée pour la femme, ni en France ni aux États-Unis ; un traitement hors AMM (préparation magistrale) peut être discuté avec un médecin spécialisé.</w:t>
      </w:r>
    </w:p>
    <w:p>
      <w:pPr>
        <w:spacing w:after="130" w:before="280"/>
      </w:pPr>
      <w:r>
        <w:rPr>
          <w:rFonts w:ascii="Cormorant Garamond" w:cs="Cormorant Garamond" w:eastAsia="Cormorant Garamond" w:hAnsi="Cormorant Garamond"/>
          <w:i w:val="false"/>
          <w:iCs w:val="false"/>
          <w:color w:val="B66B5C"/>
          <w:sz w:val="27"/>
          <w:szCs w:val="27"/>
        </w:rPr>
        <w:t xml:space="preserve">Les bénéfices du THM</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Correction des symptômes ménopausiques gênants et prévention de l'atrophie vaginale.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Seul traitement ayant prouvé son efficacité pour diminuer significativement le nombre de fractures chez la femme de 50 à 60 ans.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Diminution démontrée du risque de cancers digestifs, en particulier du cancer du côlon.</w:t>
      </w:r>
    </w:p>
    <w:p>
      <w:r>
        <w:br w:type="page"/>
      </w:r>
    </w:p>
    <w:p>
      <w:pPr>
        <w:spacing w:after="130" w:before="280"/>
      </w:pPr>
      <w:r>
        <w:rPr>
          <w:rFonts w:ascii="Cormorant Garamond" w:cs="Cormorant Garamond" w:eastAsia="Cormorant Garamond" w:hAnsi="Cormorant Garamond"/>
          <w:i w:val="false"/>
          <w:iCs w:val="false"/>
          <w:color w:val="B66B5C"/>
          <w:sz w:val="27"/>
          <w:szCs w:val="27"/>
        </w:rPr>
        <w:t xml:space="preserve">Les risques du THM : ce que montrent les données</w:t>
      </w:r>
    </w:p>
    <w:p>
      <w:pPr>
        <w:spacing w:after="150" w:line="320"/>
      </w:pPr>
      <w:r>
        <w:rPr>
          <w:rFonts w:ascii="Manrope" w:cs="Manrope" w:eastAsia="Manrope" w:hAnsi="Manrope"/>
          <w:b w:val="false"/>
          <w:bCs w:val="false"/>
          <w:i w:val="false"/>
          <w:iCs w:val="false"/>
          <w:color w:val="30343B"/>
          <w:sz w:val="21"/>
          <w:szCs w:val="21"/>
        </w:rPr>
        <w:t xml:space="preserve">Les risques varient selon le type de THM, sa voie d'administration, l'âge, l'ancienneté de la ménopause et l'état de santé de chaque femme.</w:t>
      </w:r>
    </w:p>
    <w:p>
      <w:pPr>
        <w:spacing w:after="80" w:before="180"/>
      </w:pPr>
      <w:r>
        <w:rPr>
          <w:rFonts w:ascii="Manrope" w:cs="Manrope" w:eastAsia="Manrope" w:hAnsi="Manrope"/>
          <w:b/>
          <w:bCs/>
          <w:color w:val="30343B"/>
          <w:sz w:val="20"/>
          <w:szCs w:val="20"/>
        </w:rPr>
        <w:t xml:space="preserve">Infarctus du myocarde</w:t>
      </w:r>
    </w:p>
    <w:p>
      <w:pPr>
        <w:spacing w:after="150" w:line="320"/>
      </w:pPr>
      <w:r>
        <w:rPr>
          <w:rFonts w:ascii="Manrope" w:cs="Manrope" w:eastAsia="Manrope" w:hAnsi="Manrope"/>
          <w:b w:val="false"/>
          <w:bCs w:val="false"/>
          <w:i w:val="false"/>
          <w:iCs w:val="false"/>
          <w:color w:val="30343B"/>
          <w:sz w:val="21"/>
          <w:szCs w:val="21"/>
        </w:rPr>
        <w:t xml:space="preserve">Le THM n'est pas indiqué pour la seule prévention de l'infarctus, surtout en cas d'athérome déjà présent ou à distance de la ménopause. Pris précocement après la ménopause, il aurait un effet favorable en prévention primaire.</w:t>
      </w:r>
    </w:p>
    <w:p>
      <w:pPr>
        <w:spacing w:after="80" w:before="180"/>
      </w:pPr>
      <w:r>
        <w:rPr>
          <w:rFonts w:ascii="Manrope" w:cs="Manrope" w:eastAsia="Manrope" w:hAnsi="Manrope"/>
          <w:b/>
          <w:bCs/>
          <w:color w:val="30343B"/>
          <w:sz w:val="20"/>
          <w:szCs w:val="20"/>
        </w:rPr>
        <w:t xml:space="preserve">Accidents vasculaires cérébraux (AVC)</w:t>
      </w:r>
    </w:p>
    <w:p>
      <w:pPr>
        <w:spacing w:after="150" w:line="320"/>
      </w:pPr>
      <w:r>
        <w:rPr>
          <w:rFonts w:ascii="Manrope" w:cs="Manrope" w:eastAsia="Manrope" w:hAnsi="Manrope"/>
          <w:b w:val="false"/>
          <w:bCs w:val="false"/>
          <w:i w:val="false"/>
          <w:iCs w:val="false"/>
          <w:color w:val="30343B"/>
          <w:sz w:val="21"/>
          <w:szCs w:val="21"/>
        </w:rPr>
        <w:t xml:space="preserve">Dans l'étude WHI, il existait un sur-risque d'AVC non lié à l'ancienneté de la ménopause. Chez une femme de moins de 60 ans, ce risque reste très faible. Les données récentes suggèrent un rôle des fortes doses et de la voie orale, mais pas de la voie cutanée.</w:t>
      </w:r>
    </w:p>
    <w:p>
      <w:pPr>
        <w:spacing w:after="80" w:before="180"/>
      </w:pPr>
      <w:r>
        <w:rPr>
          <w:rFonts w:ascii="Manrope" w:cs="Manrope" w:eastAsia="Manrope" w:hAnsi="Manrope"/>
          <w:b/>
          <w:bCs/>
          <w:color w:val="30343B"/>
          <w:sz w:val="20"/>
          <w:szCs w:val="20"/>
        </w:rPr>
        <w:t xml:space="preserve">Maladies thromboemboliques veineuses</w:t>
      </w:r>
    </w:p>
    <w:p>
      <w:pPr>
        <w:spacing w:after="150" w:line="320"/>
      </w:pPr>
      <w:r>
        <w:rPr>
          <w:rFonts w:ascii="Manrope" w:cs="Manrope" w:eastAsia="Manrope" w:hAnsi="Manrope"/>
          <w:b w:val="false"/>
          <w:bCs w:val="false"/>
          <w:i w:val="false"/>
          <w:iCs w:val="false"/>
          <w:color w:val="30343B"/>
          <w:sz w:val="21"/>
          <w:szCs w:val="21"/>
        </w:rPr>
        <w:t xml:space="preserve">Le risque est augmenté d'un facteur 2 à 3 par les estrogènes oraux, surtout la première année. Ce risque n'est pas présent avec les estrogènes par voie cutanée associés à la progestérone ou à un dérivé proche.</w:t>
      </w:r>
    </w:p>
    <w:p>
      <w:pPr>
        <w:spacing w:after="80" w:before="180"/>
      </w:pPr>
      <w:r>
        <w:rPr>
          <w:rFonts w:ascii="Manrope" w:cs="Manrope" w:eastAsia="Manrope" w:hAnsi="Manrope"/>
          <w:b/>
          <w:bCs/>
          <w:color w:val="30343B"/>
          <w:sz w:val="20"/>
          <w:szCs w:val="20"/>
        </w:rPr>
        <w:t xml:space="preserve">Cancer du sein</w:t>
      </w:r>
    </w:p>
    <w:p>
      <w:pPr>
        <w:spacing w:after="150" w:line="320"/>
      </w:pPr>
      <w:r>
        <w:rPr>
          <w:rFonts w:ascii="Manrope" w:cs="Manrope" w:eastAsia="Manrope" w:hAnsi="Manrope"/>
          <w:b w:val="false"/>
          <w:bCs w:val="false"/>
          <w:i w:val="false"/>
          <w:iCs w:val="false"/>
          <w:color w:val="30343B"/>
          <w:sz w:val="21"/>
          <w:szCs w:val="21"/>
        </w:rPr>
        <w:t xml:space="preserve">L'étude d'Oxford (1999) a précisé le risque absolu imputable au THM de type anglo-saxon : 2 cas supplémentaires pour 1 000 femmes traitées 5 ans, 6 cas pour 1 000 femmes traitées 10 ans, 12 cas pour 1 000 femmes traitées 15 ans (le risque de base, hors THM, entre 50 et 60 ans étant d'environ 50 cas pour 1 000 femmes). Ce sur-risque se normalise 2 à 5 ans après l'arrêt du traitement.</w:t>
      </w:r>
    </w:p>
    <w:p>
      <w:pPr>
        <w:spacing w:after="150" w:line="320"/>
      </w:pPr>
      <w:r>
        <w:rPr>
          <w:rFonts w:ascii="Manrope" w:cs="Manrope" w:eastAsia="Manrope" w:hAnsi="Manrope"/>
          <w:b w:val="false"/>
          <w:bCs w:val="false"/>
          <w:i w:val="false"/>
          <w:iCs w:val="false"/>
          <w:color w:val="30343B"/>
          <w:sz w:val="21"/>
          <w:szCs w:val="21"/>
        </w:rPr>
        <w:t xml:space="preserve">Plus récemment, aucune augmentation du risque de cancer du sein n'a été retrouvée aux États-Unis avec les estrogènes conjugués équins seuls, ni en France avec l'association estradiol + progestérone naturelle, sur des durées de traitement de 5 à 6 ans (études françaises E3N et CECILE, étude européenne EPIC).</w:t>
      </w:r>
    </w:p>
    <w:p>
      <w:pPr>
        <w:spacing w:after="150" w:line="320"/>
      </w:pPr>
      <w:r>
        <w:rPr>
          <w:rFonts w:ascii="Manrope" w:cs="Manrope" w:eastAsia="Manrope" w:hAnsi="Manrope"/>
          <w:b w:val="false"/>
          <w:bCs w:val="false"/>
          <w:i/>
          <w:iCs/>
          <w:color w:val="30343B"/>
          <w:sz w:val="21"/>
          <w:szCs w:val="21"/>
        </w:rPr>
        <w:t xml:space="preserve">Le THM n'induit pas de cancer du sein, mais peut stimuler des cellules cancéreuses préexistantes : il est dit promoteur, non inducteur. Le niveau de risque reste faible, comparable à celui d'une femme non traitée qui consommerait 3 unités d'alcool par jour. Il n'y a pas de sur-risque chez les femmes obèses, dont le risque de base est cependant plus élevé.</w:t>
      </w:r>
    </w:p>
    <w:p>
      <w:pPr>
        <w:spacing w:after="80" w:before="180"/>
      </w:pPr>
      <w:r>
        <w:rPr>
          <w:rFonts w:ascii="Manrope" w:cs="Manrope" w:eastAsia="Manrope" w:hAnsi="Manrope"/>
          <w:b/>
          <w:bCs/>
          <w:color w:val="30343B"/>
          <w:sz w:val="20"/>
          <w:szCs w:val="20"/>
        </w:rPr>
        <w:t xml:space="preserve">Cancer de l'endomètre (utérus)</w:t>
      </w:r>
    </w:p>
    <w:p>
      <w:pPr>
        <w:spacing w:after="150" w:line="320"/>
      </w:pPr>
      <w:r>
        <w:rPr>
          <w:rFonts w:ascii="Manrope" w:cs="Manrope" w:eastAsia="Manrope" w:hAnsi="Manrope"/>
          <w:b w:val="false"/>
          <w:bCs w:val="false"/>
          <w:i w:val="false"/>
          <w:iCs w:val="false"/>
          <w:color w:val="30343B"/>
          <w:sz w:val="21"/>
          <w:szCs w:val="21"/>
        </w:rPr>
        <w:t xml:space="preserve">Les estrogènes seuls augmentent ce risque : l'ajout systématique d'un progestatif, au minimum 12 jours par mois, est donc indispensable en présence d'un utérus.</w:t>
      </w:r>
    </w:p>
    <w:p>
      <w:pPr>
        <w:spacing w:after="80" w:before="180"/>
      </w:pPr>
      <w:r>
        <w:rPr>
          <w:rFonts w:ascii="Manrope" w:cs="Manrope" w:eastAsia="Manrope" w:hAnsi="Manrope"/>
          <w:b/>
          <w:bCs/>
          <w:color w:val="30343B"/>
          <w:sz w:val="20"/>
          <w:szCs w:val="20"/>
        </w:rPr>
        <w:t xml:space="preserve">Cancer de l'ovaire</w:t>
      </w:r>
    </w:p>
    <w:p>
      <w:pPr>
        <w:spacing w:after="150" w:line="320"/>
      </w:pPr>
      <w:r>
        <w:rPr>
          <w:rFonts w:ascii="Manrope" w:cs="Manrope" w:eastAsia="Manrope" w:hAnsi="Manrope"/>
          <w:b w:val="false"/>
          <w:bCs w:val="false"/>
          <w:i w:val="false"/>
          <w:iCs w:val="false"/>
          <w:color w:val="30343B"/>
          <w:sz w:val="21"/>
          <w:szCs w:val="21"/>
        </w:rPr>
        <w:t xml:space="preserve">Une analyse de 2015 montre un sur-risque évalué à 1 cas supplémentaire pour 10 000 femmes par année de THM, non observé dans l'étude WHI sur 5 ans de traitement.</w:t>
      </w:r>
    </w:p>
    <w:p>
      <w:pPr>
        <w:spacing w:after="80" w:before="180"/>
      </w:pPr>
      <w:r>
        <w:rPr>
          <w:rFonts w:ascii="Manrope" w:cs="Manrope" w:eastAsia="Manrope" w:hAnsi="Manrope"/>
          <w:b/>
          <w:bCs/>
          <w:color w:val="30343B"/>
          <w:sz w:val="20"/>
          <w:szCs w:val="20"/>
        </w:rPr>
        <w:t xml:space="preserve">Autres points de vigilance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Légère augmentation des lithiases hépato-vésiculaires, surtout par voie orale.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Augmentation possible de la taille des fibromes, stimulation possible de l'endométriose ou de l'adénomyose.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Tout saignement anormal doit amener à consulter, pour éliminer un problème utérin ou ovarien.</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Le THM ne fait pas grossir ; la prise de poids est parfois au contraire limitée par le traitement.</w:t>
      </w:r>
    </w:p>
    <w:p>
      <w:r>
        <w:br w:type="page"/>
      </w:r>
    </w:p>
    <w:p>
      <w:pPr>
        <w:spacing w:after="130" w:before="280"/>
      </w:pPr>
      <w:r>
        <w:rPr>
          <w:rFonts w:ascii="Cormorant Garamond" w:cs="Cormorant Garamond" w:eastAsia="Cormorant Garamond" w:hAnsi="Cormorant Garamond"/>
          <w:i w:val="false"/>
          <w:iCs w:val="false"/>
          <w:color w:val="B66B5C"/>
          <w:sz w:val="27"/>
          <w:szCs w:val="27"/>
        </w:rPr>
        <w:t xml:space="preserve">Durée du THM et réévaluation</w:t>
      </w:r>
    </w:p>
    <w:p>
      <w:pPr>
        <w:spacing w:after="150" w:line="320"/>
      </w:pPr>
      <w:r>
        <w:rPr>
          <w:rFonts w:ascii="Manrope" w:cs="Manrope" w:eastAsia="Manrope" w:hAnsi="Manrope"/>
          <w:b w:val="false"/>
          <w:bCs w:val="false"/>
          <w:i w:val="false"/>
          <w:iCs w:val="false"/>
          <w:color w:val="30343B"/>
          <w:sz w:val="21"/>
          <w:szCs w:val="21"/>
        </w:rPr>
        <w:t xml:space="preserve">Il n'y a en théorie pas de durée maximale. Selon la Haute Autorité de Santé (HAS), le THM doit être prescrit tant que durent les symptômes, à la dose minimale efficace, avec une réévaluation annuelle de la balance bénéfice/risque — en particulier après 5 ans de traitement. De nombreux gynécologues prolongent néanmoins le traitement bien au-delà ; cette prolongation se discute au cas par cas, en décision partagée.</w:t>
      </w:r>
    </w:p>
    <w:p>
      <w:pPr>
        <w:spacing w:after="130" w:before="280"/>
      </w:pPr>
      <w:r>
        <w:rPr>
          <w:rFonts w:ascii="Cormorant Garamond" w:cs="Cormorant Garamond" w:eastAsia="Cormorant Garamond" w:hAnsi="Cormorant Garamond"/>
          <w:i w:val="false"/>
          <w:iCs w:val="false"/>
          <w:color w:val="B66B5C"/>
          <w:sz w:val="27"/>
          <w:szCs w:val="27"/>
        </w:rPr>
        <w:t xml:space="preserve">Le suivi médical recommandé</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Examen clinique général, gynécologique et mammaire annuel, avec recherche des antécédents personnels et familiaux.</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Sous THM : recherche de symptômes anormaux ; mesure du poids, de la taille et de la tension artérielle à chaque consultation.</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Dépistage du cancer du col de l'utérus : recherche de papillomavirus tous les 5 ans jusqu'à 65 ans.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Dépistage du cancer du sein : mammographie tous les 2 ans de 50 à 74 ans.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Mesure de la DMO recommandée en début de ménopause, surtout en cas de facteurs de risque.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Une perte de taille de plus de 4 cm par rapport à la taille adulte doit faire suspecter une fracture vertébrale.</w:t>
      </w:r>
    </w:p>
    <w:p>
      <w:pPr>
        <w:spacing w:after="100" w:line="280"/>
      </w:pPr>
      <w:r>
        <w:rPr>
          <w:rFonts w:ascii="Manrope" w:cs="Manrope" w:eastAsia="Manrope" w:hAnsi="Manrope"/>
          <w:i/>
          <w:iCs/>
          <w:color w:val="7A756E"/>
          <w:sz w:val="17"/>
          <w:szCs w:val="17"/>
        </w:rPr>
        <w:t xml:space="preserve">Source : Fiche d'information SFM-GEMVi, avril 2025.</w:t>
      </w:r>
    </w:p>
    <w:p>
      <w:r>
        <w:br w:type="page"/>
      </w:r>
    </w:p>
    <w:p>
      <w:pPr>
        <w:spacing w:after="60" w:before="260"/>
      </w:pPr>
      <w:r>
        <w:rPr>
          <w:rFonts w:ascii="Manrope" w:cs="Manrope" w:eastAsia="Manrope" w:hAnsi="Manrope"/>
          <w:b w:val="false"/>
          <w:bCs w:val="false"/>
          <w:color w:val="B9985A"/>
          <w:spacing w:val="40"/>
          <w:sz w:val="15"/>
          <w:szCs w:val="15"/>
        </w:rPr>
        <w:t xml:space="preserve">AUTRES APPROCHES</w:t>
      </w:r>
    </w:p>
    <w:p>
      <w:pPr>
        <w:pStyle w:val="Heading1"/>
        <w:spacing w:after="100"/>
      </w:pPr>
      <w:r>
        <w:rPr>
          <w:rFonts w:ascii="Cormorant Garamond" w:cs="Cormorant Garamond" w:eastAsia="Cormorant Garamond" w:hAnsi="Cormorant Garamond"/>
          <w:b w:val="false"/>
          <w:bCs w:val="false"/>
          <w:color w:val="5E7D6A"/>
          <w:sz w:val="40"/>
          <w:szCs w:val="40"/>
        </w:rPr>
        <w:t xml:space="preserve">Les traitements non hormonaux</w:t>
      </w:r>
    </w:p>
    <w:p>
      <w:pPr>
        <w:pBdr>
          <w:bottom w:val="single" w:color="B9985A" w:sz="4" w:space="1"/>
        </w:pBdr>
        <w:spacing w:after="160"/>
      </w:pPr>
      <w:r>
        <w:rPr>
          <w:sz w:val="2"/>
          <w:szCs w:val="2"/>
        </w:rPr>
        <w:t xml:space="preserve"/>
      </w:r>
    </w:p>
    <w:p>
      <w:pPr>
        <w:spacing w:after="150" w:line="320"/>
      </w:pPr>
      <w:r>
        <w:rPr>
          <w:rFonts w:ascii="Manrope" w:cs="Manrope" w:eastAsia="Manrope" w:hAnsi="Manrope"/>
          <w:b w:val="false"/>
          <w:bCs w:val="false"/>
          <w:i w:val="false"/>
          <w:iCs w:val="false"/>
          <w:color w:val="30343B"/>
          <w:sz w:val="21"/>
          <w:szCs w:val="21"/>
        </w:rPr>
        <w:t xml:space="preserve">Pour les bouffées de chaleur, l'effet placebo améliore les symptômes dans 25 % des cas, pouvant atteindre 70 % chez certaines femmes.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Phyto-estrogènes : la Haute Autorité de Santé met en garde car ils sont mal évalués. Déconseillés en cas d'antécédent de cancer hormonodépendant, notamment du sein.</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Traitements non hormonaux hors AMM pour les BVM : clonidine, gabapentine, certains antidépresseurs. Efficacité supérieure au placebo dans plusieurs études, mais effets secondaires à discuter au cas par cas ; action lente (2 à 3 mois).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Alternatives non pharmacologiques dont l'efficacité dépasse le placebo : hypnose, yoga, acupuncture.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Nouveauté : les antagonistes sélectifs des récepteurs à la neurokinine réduisent significativement les BVM. Le premier représentant est disponible en France depuis avril 2025 — à ce jour non remboursé.</w:t>
      </w:r>
    </w:p>
    <w:p>
      <w:pPr>
        <w:spacing w:after="150" w:line="320"/>
      </w:pPr>
      <w:r>
        <w:rPr>
          <w:rFonts w:ascii="Manrope" w:cs="Manrope" w:eastAsia="Manrope" w:hAnsi="Manrope"/>
          <w:b w:val="false"/>
          <w:bCs w:val="false"/>
          <w:i/>
          <w:iCs/>
          <w:color w:val="30343B"/>
          <w:sz w:val="21"/>
          <w:szCs w:val="21"/>
        </w:rPr>
        <w:t xml:space="preserve">Pour la sécheresse vaginale : hydratants et lubrifiants améliorent le confort ; les estrogènes par voie vaginale préservent la trophicité vulvo-vaginale. Pour l'incontinence urinaire, l'estrogène local associé à une rééducation périnéale est souvent efficace.</w:t>
      </w:r>
    </w:p>
    <w:p>
      <w:pPr>
        <w:spacing w:after="100" w:line="280"/>
      </w:pPr>
      <w:r>
        <w:rPr>
          <w:rFonts w:ascii="Manrope" w:cs="Manrope" w:eastAsia="Manrope" w:hAnsi="Manrope"/>
          <w:i/>
          <w:iCs/>
          <w:color w:val="7A756E"/>
          <w:sz w:val="17"/>
          <w:szCs w:val="17"/>
        </w:rPr>
        <w:t xml:space="preserve">Source : Fiche d'information SFM-GEMVi, avril 2025.</w:t>
      </w:r>
    </w:p>
    <w:p>
      <w:r>
        <w:br w:type="page"/>
      </w:r>
    </w:p>
    <w:p>
      <w:pPr>
        <w:spacing w:after="60" w:before="260"/>
      </w:pPr>
      <w:r>
        <w:rPr>
          <w:rFonts w:ascii="Manrope" w:cs="Manrope" w:eastAsia="Manrope" w:hAnsi="Manrope"/>
          <w:b w:val="false"/>
          <w:bCs w:val="false"/>
          <w:color w:val="B9985A"/>
          <w:spacing w:val="40"/>
          <w:sz w:val="15"/>
          <w:szCs w:val="15"/>
        </w:rPr>
        <w:t xml:space="preserve">BONNES PRATIQUES AU QUOTIDIEN</w:t>
      </w:r>
    </w:p>
    <w:p>
      <w:pPr>
        <w:pStyle w:val="Heading1"/>
        <w:spacing w:after="100"/>
      </w:pPr>
      <w:r>
        <w:rPr>
          <w:rFonts w:ascii="Cormorant Garamond" w:cs="Cormorant Garamond" w:eastAsia="Cormorant Garamond" w:hAnsi="Cormorant Garamond"/>
          <w:b w:val="false"/>
          <w:bCs w:val="false"/>
          <w:color w:val="5E7D6A"/>
          <w:sz w:val="40"/>
          <w:szCs w:val="40"/>
        </w:rPr>
        <w:t xml:space="preserve">Trousse de démarrage</w:t>
      </w:r>
    </w:p>
    <w:p>
      <w:pPr>
        <w:pBdr>
          <w:bottom w:val="single" w:color="B9985A" w:sz="4" w:space="1"/>
        </w:pBdr>
        <w:spacing w:after="160"/>
      </w:pPr>
      <w:r>
        <w:rPr>
          <w:sz w:val="2"/>
          <w:szCs w:val="2"/>
        </w:rPr>
        <w:t xml:space="preserve"/>
      </w:r>
    </w:p>
    <w:p>
      <w:pPr>
        <w:spacing w:after="130" w:before="280"/>
      </w:pPr>
      <w:r>
        <w:rPr>
          <w:rFonts w:ascii="Cormorant Garamond" w:cs="Cormorant Garamond" w:eastAsia="Cormorant Garamond" w:hAnsi="Cormorant Garamond"/>
          <w:i w:val="false"/>
          <w:iCs w:val="false"/>
          <w:color w:val="B66B5C"/>
          <w:sz w:val="27"/>
          <w:szCs w:val="27"/>
        </w:rPr>
        <w:t xml:space="preserve">Règles hygiéno-diététiques (SFM-GEMVi)</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Arrêt du tabac et limitation des boissons alcoolisées.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Alimentation pauvre en graisses et sucres rapides, riche en légumes verts, crudités, poisson, avec 1 à 2 fruits par jour.</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Calcium : 1000 à 1200 mg/jour, en privilégiant 3 produits laitiers par jour et/ou une eau riche en calcium (Contrexeville, Hépar, Courmayeur).</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Vitamine D : 15 à 30 minutes d'exposition solaire par jour peuvent suffire ; un apport de 800 UI/jour ou 50 000 UI de vitamine D3 par mois peut être conseillé en hiver — à discuter avec votre médecin.</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Activité physique régulière : 30 à 45 minutes de marche rapide, 3 à 4 fois par semaine, ou 2 à 3 heures d'exercice par semaine.</w:t>
      </w:r>
    </w:p>
    <w:p>
      <w:pPr>
        <w:spacing w:after="130" w:before="280"/>
      </w:pPr>
      <w:r>
        <w:rPr>
          <w:rFonts w:ascii="Cormorant Garamond" w:cs="Cormorant Garamond" w:eastAsia="Cormorant Garamond" w:hAnsi="Cormorant Garamond"/>
          <w:i w:val="false"/>
          <w:iCs w:val="false"/>
          <w:color w:val="B66B5C"/>
          <w:sz w:val="27"/>
          <w:szCs w:val="27"/>
        </w:rPr>
        <w:t xml:space="preserve">Mouvement</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Étirements quotidiens et travail de l'équilibre.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Renforcement musculaire progressif 2 à 3 fois par semaine.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Endurance cardiovasculaire modérée, en complément de la marche rapide.</w:t>
      </w:r>
    </w:p>
    <w:p>
      <w:pPr>
        <w:spacing w:after="130" w:before="280"/>
      </w:pPr>
      <w:r>
        <w:rPr>
          <w:rFonts w:ascii="Cormorant Garamond" w:cs="Cormorant Garamond" w:eastAsia="Cormorant Garamond" w:hAnsi="Cormorant Garamond"/>
          <w:i w:val="false"/>
          <w:iCs w:val="false"/>
          <w:color w:val="B66B5C"/>
          <w:sz w:val="27"/>
          <w:szCs w:val="27"/>
        </w:rPr>
        <w:t xml:space="preserve">Optimisation du sommeil</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Horaires réguliers ; limiter la lumière bleue 45-60 minutes avant le coucher.</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Éviter caféine, alcool et nicotine en soirée ; privilégier le sport en journée.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Discuter d'un THM : l'estradiol et la progestérone peuvent réduire les sueurs nocturnes.</w:t>
      </w:r>
    </w:p>
    <w:p>
      <w:pPr>
        <w:spacing w:after="130" w:before="280"/>
      </w:pPr>
      <w:r>
        <w:rPr>
          <w:rFonts w:ascii="Cormorant Garamond" w:cs="Cormorant Garamond" w:eastAsia="Cormorant Garamond" w:hAnsi="Cormorant Garamond"/>
          <w:i w:val="false"/>
          <w:iCs w:val="false"/>
          <w:color w:val="B66B5C"/>
          <w:sz w:val="27"/>
          <w:szCs w:val="27"/>
        </w:rPr>
        <w:t xml:space="preserve">Réduction du stress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Exposition à la lumière du jour, contact avec la nature.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Yoga, méditation, écriture, activités sociales — l'acupuncture et l'hypnose ont montré une efficacité supérieure au placebo.</w:t>
      </w:r>
    </w:p>
    <w:p>
      <w:pPr>
        <w:spacing w:after="130" w:before="280"/>
      </w:pPr>
      <w:r>
        <w:rPr>
          <w:rFonts w:ascii="Cormorant Garamond" w:cs="Cormorant Garamond" w:eastAsia="Cormorant Garamond" w:hAnsi="Cormorant Garamond"/>
          <w:i w:val="false"/>
          <w:iCs w:val="false"/>
          <w:color w:val="B66B5C"/>
          <w:sz w:val="27"/>
          <w:szCs w:val="27"/>
        </w:rPr>
        <w:t xml:space="preserve">Compléments alimentaires : catégories et exemples de marques françaises</w:t>
      </w:r>
    </w:p>
    <w:p>
      <w:pPr>
        <w:spacing w:after="150" w:line="320"/>
      </w:pPr>
      <w:r>
        <w:rPr>
          <w:rFonts w:ascii="Manrope" w:cs="Manrope" w:eastAsia="Manrope" w:hAnsi="Manrope"/>
          <w:b w:val="false"/>
          <w:bCs w:val="false"/>
          <w:i/>
          <w:iCs/>
          <w:color w:val="30343B"/>
          <w:sz w:val="21"/>
          <w:szCs w:val="21"/>
        </w:rPr>
        <w:t xml:space="preserve">À discuter systématiquement avec un pharmacien ou un médecin avant utilisation.</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Fibres (psyllium, inuline) — ex. : Nutripure, Vit'all+, Biocyte.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Oméga-3 — ex. : Nutripure, Eafit, Biocyte, Omégabiane.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Vitamine D ± K2 — nombreuses marques en pharmacie ; dose à individualiser.</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Créatine monohydrate — ex. : Nutrimuscle, Nutripure, Foodspring.</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Protéines en poudre — ex. : Nutrimuscle, Foodspring, Nutripure.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Collagène — ex. : Biocyte Collagen Expert, D-LAB Nutricosmetics, Nutrimuscle Collagène.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Complexes sommeil (magnésium, L-théanine, mélatonine) — mélatonine réglementée en France (jusqu'à 1,9 mg sans ordonnance).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Curcuma + pipérine — ex. : Arkopharma, Vit'all+, Nutripure.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Multivitamines ménopause — ex. : Ménophytea, Arkogélules Ménopause, Biocyte Menopause.</w:t>
      </w:r>
    </w:p>
    <w:p>
      <w:pPr>
        <w:spacing w:after="100" w:line="280"/>
      </w:pPr>
      <w:r>
        <w:rPr>
          <w:rFonts w:ascii="Manrope" w:cs="Manrope" w:eastAsia="Manrope" w:hAnsi="Manrope"/>
          <w:i/>
          <w:iCs/>
          <w:color w:val="7A756E"/>
          <w:sz w:val="17"/>
          <w:szCs w:val="17"/>
        </w:rPr>
        <w:t xml:space="preserve">Ces marques sont citées à titre d'exemple ; elles ne constituent ni une recommandation ni un partenariat avec le Dr Haver ou le GEMVi.</w:t>
      </w:r>
    </w:p>
    <w:p>
      <w:r>
        <w:br w:type="page"/>
      </w:r>
    </w:p>
    <w:p>
      <w:pPr>
        <w:spacing w:after="60" w:before="260"/>
      </w:pPr>
      <w:r>
        <w:rPr>
          <w:rFonts w:ascii="Manrope" w:cs="Manrope" w:eastAsia="Manrope" w:hAnsi="Manrope"/>
          <w:b w:val="false"/>
          <w:bCs w:val="false"/>
          <w:color w:val="B9985A"/>
          <w:spacing w:val="40"/>
          <w:sz w:val="15"/>
          <w:szCs w:val="15"/>
        </w:rPr>
        <w:t xml:space="preserve">REPRENDRE LE POUVOIR</w:t>
      </w:r>
    </w:p>
    <w:p>
      <w:pPr>
        <w:pStyle w:val="Heading1"/>
        <w:spacing w:after="100"/>
      </w:pPr>
      <w:r>
        <w:rPr>
          <w:rFonts w:ascii="Cormorant Garamond" w:cs="Cormorant Garamond" w:eastAsia="Cormorant Garamond" w:hAnsi="Cormorant Garamond"/>
          <w:b w:val="false"/>
          <w:bCs w:val="false"/>
          <w:color w:val="5E7D6A"/>
          <w:sz w:val="40"/>
          <w:szCs w:val="40"/>
        </w:rPr>
        <w:t xml:space="preserve">Plaidoyer pour soi-même</w:t>
      </w:r>
    </w:p>
    <w:p>
      <w:pPr>
        <w:pBdr>
          <w:bottom w:val="single" w:color="B9985A" w:sz="4" w:space="1"/>
        </w:pBdr>
        <w:spacing w:after="160"/>
      </w:pPr>
      <w:r>
        <w:rPr>
          <w:sz w:val="2"/>
          <w:szCs w:val="2"/>
        </w:rPr>
        <w:t xml:space="preserve"/>
      </w:r>
    </w:p>
    <w:p>
      <w:pPr>
        <w:spacing w:after="130" w:before="280"/>
      </w:pPr>
      <w:r>
        <w:rPr>
          <w:rFonts w:ascii="Cormorant Garamond" w:cs="Cormorant Garamond" w:eastAsia="Cormorant Garamond" w:hAnsi="Cormorant Garamond"/>
          <w:i w:val="false"/>
          <w:iCs w:val="false"/>
          <w:color w:val="B66B5C"/>
          <w:sz w:val="27"/>
          <w:szCs w:val="27"/>
        </w:rPr>
        <w:t xml:space="preserve">Si votre médecin refuse d'en discuter</w:t>
      </w:r>
    </w:p>
    <w:p>
      <w:pPr>
        <w:pStyle w:val="ListParagraph"/>
        <w:numPr>
          <w:ilvl w:val="0"/>
          <w:numId w:val="3"/>
        </w:numPr>
        <w:spacing w:after="110" w:line="300"/>
      </w:pPr>
      <w:r>
        <w:rPr>
          <w:rFonts w:ascii="Manrope" w:cs="Manrope" w:eastAsia="Manrope" w:hAnsi="Manrope"/>
          <w:color w:val="30343B"/>
          <w:sz w:val="21"/>
          <w:szCs w:val="21"/>
        </w:rPr>
        <w:t xml:space="preserve">Informez-vous auprès de sources fiables et partagez ces informations : cela facilite une décision partagée.</w:t>
      </w:r>
    </w:p>
    <w:p>
      <w:pPr>
        <w:pStyle w:val="ListParagraph"/>
        <w:numPr>
          <w:ilvl w:val="0"/>
          <w:numId w:val="3"/>
        </w:numPr>
        <w:spacing w:after="110" w:line="300"/>
      </w:pPr>
      <w:r>
        <w:rPr>
          <w:rFonts w:ascii="Manrope" w:cs="Manrope" w:eastAsia="Manrope" w:hAnsi="Manrope"/>
          <w:color w:val="30343B"/>
          <w:sz w:val="21"/>
          <w:szCs w:val="21"/>
        </w:rPr>
        <w:t xml:space="preserve">Rappelez qu'il n'existe pas un seul type de THM : de nombreuses formes, doses et molécules existent.</w:t>
      </w:r>
    </w:p>
    <w:p>
      <w:pPr>
        <w:pStyle w:val="ListParagraph"/>
        <w:numPr>
          <w:ilvl w:val="0"/>
          <w:numId w:val="3"/>
        </w:numPr>
        <w:spacing w:after="110" w:line="300"/>
      </w:pPr>
      <w:r>
        <w:rPr>
          <w:rFonts w:ascii="Manrope" w:cs="Manrope" w:eastAsia="Manrope" w:hAnsi="Manrope"/>
          <w:color w:val="30343B"/>
          <w:sz w:val="21"/>
          <w:szCs w:val="21"/>
        </w:rPr>
        <w:t xml:space="preserve">Un THM associé à une approche nutritionnelle et un mode de vie global est associé à moins de risques cardiovasculaires.</w:t>
      </w:r>
    </w:p>
    <w:p>
      <w:pPr>
        <w:pStyle w:val="ListParagraph"/>
        <w:numPr>
          <w:ilvl w:val="0"/>
          <w:numId w:val="3"/>
        </w:numPr>
        <w:spacing w:after="110" w:line="300"/>
      </w:pPr>
      <w:r>
        <w:rPr>
          <w:rFonts w:ascii="Manrope" w:cs="Manrope" w:eastAsia="Manrope" w:hAnsi="Manrope"/>
          <w:color w:val="30343B"/>
          <w:sz w:val="21"/>
          <w:szCs w:val="21"/>
        </w:rPr>
        <w:t xml:space="preserve">Si le refus persiste, consultez un autre praticien via l'annuaire du GEMVi (gemvi.org).</w:t>
      </w:r>
    </w:p>
    <w:p>
      <w:pPr>
        <w:spacing w:after="130" w:before="280"/>
      </w:pPr>
      <w:r>
        <w:rPr>
          <w:rFonts w:ascii="Cormorant Garamond" w:cs="Cormorant Garamond" w:eastAsia="Cormorant Garamond" w:hAnsi="Cormorant Garamond"/>
          <w:i w:val="false"/>
          <w:iCs w:val="false"/>
          <w:color w:val="B66B5C"/>
          <w:sz w:val="27"/>
          <w:szCs w:val="27"/>
        </w:rPr>
        <w:t xml:space="preserve">Ce que vous ne devriez pas avoir à accepter</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Qu'on vous dise que c'est simplement votre « nouvelle normalité ».</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Un refus de principe de prescrire un THM sans évaluation individuelle.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Des limites de durée arbitraires sans réévaluation annuelle.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pct" w:w="100%"/>
            <w:shd w:fill="F3E8D8" w:val="clear"/>
            <w:tcMar>
              <w:top w:type="dxa" w:w="220"/>
              <w:left w:type="dxa" w:w="280"/>
              <w:bottom w:type="dxa" w:w="220"/>
              <w:right w:type="dxa" w:w="280"/>
            </w:tcMar>
          </w:tcPr>
          <w:p>
            <w:pPr>
              <w:spacing w:after="60"/>
            </w:pPr>
            <w:r>
              <w:rPr>
                <w:rFonts w:ascii="Cormorant Garamond" w:cs="Cormorant Garamond" w:eastAsia="Cormorant Garamond" w:hAnsi="Cormorant Garamond"/>
                <w:color w:val="30343B"/>
                <w:sz w:val="25"/>
                <w:szCs w:val="25"/>
              </w:rPr>
              <w:t xml:space="preserve">La SFM-GEMVi souligne l'importance</w:t>
            </w:r>
          </w:p>
          <w:p>
            <w:pPr>
              <w:spacing w:after="60" w:line="290"/>
            </w:pPr>
            <w:r>
              <w:rPr>
                <w:rFonts w:ascii="Manrope" w:cs="Manrope" w:eastAsia="Manrope" w:hAnsi="Manrope"/>
                <w:color w:val="30343B"/>
                <w:sz w:val="19"/>
                <w:szCs w:val="19"/>
              </w:rPr>
              <w:t xml:space="preserve">— des hormones « naturelles » (estradiol et progestérone) à dose minimale efficace ;</w:t>
            </w:r>
          </w:p>
          <w:p>
            <w:pPr>
              <w:spacing w:after="60" w:line="290"/>
            </w:pPr>
            <w:r>
              <w:rPr>
                <w:rFonts w:ascii="Manrope" w:cs="Manrope" w:eastAsia="Manrope" w:hAnsi="Manrope"/>
                <w:color w:val="30343B"/>
                <w:sz w:val="19"/>
                <w:szCs w:val="19"/>
              </w:rPr>
              <w:t xml:space="preserve">— de l'utilisation préférentiellement cutanée des estrogènes, pour éviter tout risque veineux ;</w:t>
            </w:r>
          </w:p>
          <w:p>
            <w:pPr>
              <w:spacing w:after="60" w:line="290"/>
            </w:pPr>
            <w:r>
              <w:rPr>
                <w:rFonts w:ascii="Manrope" w:cs="Manrope" w:eastAsia="Manrope" w:hAnsi="Manrope"/>
                <w:color w:val="30343B"/>
                <w:sz w:val="19"/>
                <w:szCs w:val="19"/>
              </w:rPr>
              <w:t xml:space="preserve">— d'une administration en début de ménopause lorsque nécessaire, pour s'opposer à la perte osseuse et à la progression de l'athérome.</w:t>
            </w:r>
          </w:p>
        </w:tc>
      </w:tr>
    </w:tbl>
    <w:p>
      <w:pPr>
        <w:spacing w:after="150" w:line="320"/>
      </w:pPr>
      <w:r>
        <w:rPr>
          <w:rFonts w:ascii="Manrope" w:cs="Manrope" w:eastAsia="Manrope" w:hAnsi="Manrope"/>
          <w:b w:val="false"/>
          <w:bCs w:val="false"/>
          <w:i w:val="false"/>
          <w:iCs w:val="false"/>
          <w:color w:val="30343B"/>
          <w:sz w:val="21"/>
          <w:szCs w:val="21"/>
        </w:rPr>
        <w:t xml:space="preserve">Pour les femmes en bonne santé, sans contre-indication, âgées de moins de 60 ans et dans les 10 ans suivant le début de la ménopause, les bénéfices du THM l'emportent généralement sur les risques.</w:t>
      </w:r>
    </w:p>
    <w:p>
      <w:r>
        <w:br w:type="page"/>
      </w:r>
    </w:p>
    <w:p>
      <w:pPr>
        <w:spacing w:after="60" w:before="260"/>
      </w:pPr>
      <w:r>
        <w:rPr>
          <w:rFonts w:ascii="Manrope" w:cs="Manrope" w:eastAsia="Manrope" w:hAnsi="Manrope"/>
          <w:b w:val="false"/>
          <w:bCs w:val="false"/>
          <w:color w:val="B9985A"/>
          <w:spacing w:val="40"/>
          <w:sz w:val="15"/>
          <w:szCs w:val="15"/>
        </w:rPr>
        <w:t xml:space="preserve">RESSOURCES</w:t>
      </w:r>
    </w:p>
    <w:p>
      <w:pPr>
        <w:pStyle w:val="Heading1"/>
        <w:spacing w:after="100"/>
      </w:pPr>
      <w:r>
        <w:rPr>
          <w:rFonts w:ascii="Cormorant Garamond" w:cs="Cormorant Garamond" w:eastAsia="Cormorant Garamond" w:hAnsi="Cormorant Garamond"/>
          <w:b w:val="false"/>
          <w:bCs w:val="false"/>
          <w:color w:val="5E7D6A"/>
          <w:sz w:val="40"/>
          <w:szCs w:val="40"/>
        </w:rPr>
        <w:t xml:space="preserve">Pour aller plus loin</w:t>
      </w:r>
    </w:p>
    <w:p>
      <w:pPr>
        <w:pBdr>
          <w:bottom w:val="single" w:color="B9985A" w:sz="4" w:space="1"/>
        </w:pBdr>
        <w:spacing w:after="160"/>
      </w:pPr>
      <w:r>
        <w:rPr>
          <w:sz w:val="2"/>
          <w:szCs w:val="2"/>
        </w:rPr>
        <w:t xml:space="preserve"/>
      </w:r>
    </w:p>
    <w:p>
      <w:pPr>
        <w:spacing w:after="130" w:before="280"/>
      </w:pPr>
      <w:r>
        <w:rPr>
          <w:rFonts w:ascii="Cormorant Garamond" w:cs="Cormorant Garamond" w:eastAsia="Cormorant Garamond" w:hAnsi="Cormorant Garamond"/>
          <w:i w:val="false"/>
          <w:iCs w:val="false"/>
          <w:color w:val="B66B5C"/>
          <w:sz w:val="27"/>
          <w:szCs w:val="27"/>
        </w:rPr>
        <w:t xml:space="preserve">Ressources du Dr Mary Claire Haver</w:t>
      </w:r>
    </w:p>
    <w:p>
      <w:pPr>
        <w:spacing w:after="150" w:line="320"/>
      </w:pPr>
      <w:r>
        <w:rPr>
          <w:rFonts w:ascii="Manrope" w:cs="Manrope" w:eastAsia="Manrope" w:hAnsi="Manrope"/>
          <w:b w:val="false"/>
          <w:bCs w:val="false"/>
          <w:i/>
          <w:iCs/>
          <w:color w:val="30343B"/>
          <w:sz w:val="21"/>
          <w:szCs w:val="21"/>
        </w:rPr>
        <w:t xml:space="preserve">Livres « The New Menopause » et « The New Perimenopause » (en anglais), podcast unPAUSED, communauté et programmes sur thepauselife.com.</w:t>
      </w:r>
    </w:p>
    <w:p>
      <w:pPr>
        <w:spacing w:after="130" w:before="280"/>
      </w:pPr>
      <w:r>
        <w:rPr>
          <w:rFonts w:ascii="Cormorant Garamond" w:cs="Cormorant Garamond" w:eastAsia="Cormorant Garamond" w:hAnsi="Cormorant Garamond"/>
          <w:i w:val="false"/>
          <w:iCs w:val="false"/>
          <w:color w:val="B66B5C"/>
          <w:sz w:val="27"/>
          <w:szCs w:val="27"/>
        </w:rPr>
        <w:t xml:space="preserve">Ressources de la Société Française de Ménopause (GEMVi)</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Site officiel et fiche d'information complète : www.gemvi.org</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Annuaire de praticiens formés à la ménopause.</w:t>
      </w:r>
    </w:p>
    <w:p>
      <w:pPr>
        <w:spacing w:after="130" w:before="280"/>
      </w:pPr>
      <w:r>
        <w:rPr>
          <w:rFonts w:ascii="Cormorant Garamond" w:cs="Cormorant Garamond" w:eastAsia="Cormorant Garamond" w:hAnsi="Cormorant Garamond"/>
          <w:i w:val="false"/>
          <w:iCs w:val="false"/>
          <w:color w:val="B66B5C"/>
          <w:sz w:val="27"/>
          <w:szCs w:val="27"/>
        </w:rPr>
        <w:t xml:space="preserve">Autres ressources utiles en France</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CNGOF — Collège National des Gynécologues et Obstétriciens Français.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ameli.fr — conditions de remboursement des examens et consultations.</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Votre pharmacien(ne) — pour toute question sur les compléments alimentaires.</w:t>
      </w:r>
    </w:p>
    <w:p>
      <w:r>
        <w:br w:type="page"/>
      </w:r>
    </w:p>
    <w:p>
      <w:pPr>
        <w:spacing w:after="60" w:before="260"/>
      </w:pPr>
      <w:r>
        <w:rPr>
          <w:rFonts w:ascii="Manrope" w:cs="Manrope" w:eastAsia="Manrope" w:hAnsi="Manrope"/>
          <w:b w:val="false"/>
          <w:bCs w:val="false"/>
          <w:color w:val="B9985A"/>
          <w:spacing w:val="40"/>
          <w:sz w:val="15"/>
          <w:szCs w:val="15"/>
        </w:rPr>
        <w:t xml:space="preserve">RÉFÉRENCES</w:t>
      </w:r>
    </w:p>
    <w:p>
      <w:pPr>
        <w:pStyle w:val="Heading1"/>
        <w:spacing w:after="100"/>
      </w:pPr>
      <w:r>
        <w:rPr>
          <w:rFonts w:ascii="Cormorant Garamond" w:cs="Cormorant Garamond" w:eastAsia="Cormorant Garamond" w:hAnsi="Cormorant Garamond"/>
          <w:b w:val="false"/>
          <w:bCs w:val="false"/>
          <w:color w:val="5E7D6A"/>
          <w:sz w:val="40"/>
          <w:szCs w:val="40"/>
        </w:rPr>
        <w:t xml:space="preserve">Sources et mentions légales</w:t>
      </w:r>
    </w:p>
    <w:p>
      <w:pPr>
        <w:pBdr>
          <w:bottom w:val="single" w:color="B9985A" w:sz="4" w:space="1"/>
        </w:pBdr>
        <w:spacing w:after="160"/>
      </w:pPr>
      <w:r>
        <w:rPr>
          <w:sz w:val="2"/>
          <w:szCs w:val="2"/>
        </w:rPr>
        <w:t xml:space="preserve"/>
      </w:r>
    </w:p>
    <w:p>
      <w:pPr>
        <w:spacing w:after="150" w:line="320"/>
      </w:pPr>
      <w:r>
        <w:rPr>
          <w:rFonts w:ascii="Manrope" w:cs="Manrope" w:eastAsia="Manrope" w:hAnsi="Manrope"/>
          <w:b/>
          <w:bCs/>
          <w:i w:val="false"/>
          <w:iCs w:val="false"/>
          <w:color w:val="30343B"/>
          <w:sz w:val="21"/>
          <w:szCs w:val="21"/>
        </w:rPr>
        <w:t xml:space="preserve">Contenu et démarche éditoriale originaux :</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Dr Mary Claire Haver, MD — The 'Pause Life — thepauselife.com — © Mary Claire Media LLC.</w:t>
      </w:r>
    </w:p>
    <w:p>
      <w:pPr>
        <w:pStyle w:val="ListParagraph"/>
        <w:numPr>
          <w:ilvl w:val="0"/>
          <w:numId w:val="2"/>
        </w:numPr>
        <w:spacing w:after="100" w:line="300"/>
      </w:pPr>
      <w:r>
        <w:rPr>
          <w:rFonts w:ascii="Manrope" w:cs="Manrope" w:eastAsia="Manrope" w:hAnsi="Manrope"/>
          <w:b w:val="false"/>
          <w:bCs w:val="false"/>
          <w:color w:val="30343B"/>
          <w:sz w:val="21"/>
          <w:szCs w:val="21"/>
        </w:rPr>
        <w:t xml:space="preserve">Société Française de Ménopause (SFM-GEMVi) — Fiche d'information aux patientes, mise à jour avril 2025 — © GEMVi — www.gemvi.org.</w:t>
      </w:r>
    </w:p>
    <w:p>
      <w:pPr>
        <w:spacing w:after="150" w:line="320"/>
      </w:pPr>
      <w:r>
        <w:rPr>
          <w:rFonts w:ascii="Manrope" w:cs="Manrope" w:eastAsia="Manrope" w:hAnsi="Manrope"/>
          <w:b w:val="false"/>
          <w:bCs w:val="false"/>
          <w:i w:val="false"/>
          <w:iCs w:val="false"/>
          <w:color w:val="30343B"/>
          <w:sz w:val="21"/>
          <w:szCs w:val="21"/>
        </w:rPr>
        <w:t xml:space="preserve">Ce document constitue une traduction et adaptation libre à but éducatif uniquement, combinant ces deux sources. Il ne remplace en aucun cas une consultation médicale, un diagnostic ou une prescription.</w:t>
      </w:r>
    </w:p>
    <w:p>
      <w:pPr>
        <w:spacing w:after="150" w:line="320"/>
      </w:pPr>
      <w:r>
        <w:rPr>
          <w:rFonts w:ascii="Manrope" w:cs="Manrope" w:eastAsia="Manrope" w:hAnsi="Manrope"/>
          <w:b w:val="false"/>
          <w:bCs w:val="false"/>
          <w:i w:val="false"/>
          <w:iCs w:val="false"/>
          <w:color w:val="30343B"/>
          <w:sz w:val="21"/>
          <w:szCs w:val="21"/>
        </w:rPr>
        <w:t xml:space="preserve">Avertissement compléments alimentaires : demandez conseil à votre médecin ou pharmacien avant toute utilisation. Les compléments alimentaires ne sont pas destinés à diagnostiquer, traiter, guérir ou prévenir une maladie.</w:t>
      </w:r>
    </w:p>
    <w:p>
      <w:pPr>
        <w:spacing w:after="150" w:line="320"/>
      </w:pPr>
      <w:r>
        <w:rPr>
          <w:rFonts w:ascii="Manrope" w:cs="Manrope" w:eastAsia="Manrope" w:hAnsi="Manrope"/>
          <w:b/>
          <w:bCs/>
          <w:i w:val="false"/>
          <w:iCs w:val="false"/>
          <w:color w:val="30343B"/>
          <w:sz w:val="21"/>
          <w:szCs w:val="21"/>
        </w:rPr>
        <w:t xml:space="preserve">Sources scientifiques du guide original du Dr Haver (numérotation d'origine) :</w:t>
      </w:r>
    </w:p>
    <w:p>
      <w:pPr>
        <w:spacing w:after="100" w:line="280"/>
      </w:pPr>
      <w:r>
        <w:rPr>
          <w:rFonts w:ascii="Manrope" w:cs="Manrope" w:eastAsia="Manrope" w:hAnsi="Manrope"/>
          <w:i/>
          <w:iCs/>
          <w:color w:val="7A756E"/>
          <w:sz w:val="17"/>
          <w:szCs w:val="17"/>
        </w:rPr>
        <w:t xml:space="preserve">1. medicine.yale.edu — 2. ncbi.nlm.nih.gov/pmc/articles/PMC6780820 — 3. menopause.org (position TMS 2022) — 4. care.diabetesjournals.org — 5-9. ncbi.nlm.nih.gov (PMC/NBK) — 10. sciencedirect.com — 11. aafp.org — 12. bmj.com — 13. ahajournals.org (Circulation, AHA).</w:t>
      </w:r>
    </w:p>
    <w:p>
      <w:pPr>
        <w:spacing w:after="150" w:line="320"/>
      </w:pPr>
      <w:r>
        <w:rPr>
          <w:rFonts w:ascii="Manrope" w:cs="Manrope" w:eastAsia="Manrope" w:hAnsi="Manrope"/>
          <w:b w:val="false"/>
          <w:bCs w:val="false"/>
          <w:i/>
          <w:iCs/>
          <w:color w:val="30343B"/>
          <w:sz w:val="21"/>
          <w:szCs w:val="21"/>
        </w:rPr>
        <w:t xml:space="preserve">Références citées dans la fiche SFM-GEMVi : étude WHI (2002) ; étude d'Oxford (1999) ; études françaises E3N et CECILE ; étude européenne EPIC ; analyse 2015 sur le cancer de l'ovaire ; recommandations HAS.</w:t>
      </w:r>
    </w:p>
    <w:p>
      <w:pPr>
        <w:spacing w:after="150" w:line="320"/>
      </w:pPr>
      <w:r>
        <w:rPr>
          <w:rFonts w:ascii="Manrope" w:cs="Manrope" w:eastAsia="Manrope" w:hAnsi="Manrope"/>
          <w:b w:val="false"/>
          <w:bCs w:val="false"/>
          <w:i/>
          <w:iCs/>
          <w:color w:val="30343B"/>
          <w:sz w:val="21"/>
          <w:szCs w:val="21"/>
        </w:rPr>
        <w:t xml:space="preserve">Document adapté avec soin pour un usage éducatif en France — juillet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rPr>
        <w:color w:val="B66B5C"/>
      </w:rPr>
    </w:lvl>
  </w:abstractNum>
  <w:abstractNum w:abstractNumId="3" w15:restartNumberingAfterBreak="0">
    <w:multiLevelType w:val="hybridMultilevel"/>
    <w:lvl w:ilvl="0" w15:tentative="1">
      <w:start w:val="1"/>
      <w:numFmt w:val="decimal"/>
      <w:lvlText w:val="%1."/>
      <w:lvlJc w:val="left"/>
      <w:pPr>
        <w:ind w:left="420" w:hanging="260"/>
      </w:pPr>
      <w:rPr>
        <w:color w:val="B66B5C"/>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2026-07-06T13:15:29.602Z</dcterms:created>
  <dcterms:modified xsi:type="dcterms:W3CDTF">2026-07-06T13:15:29.616Z</dcterms:modified>
</cp:coreProperties>
</file>

<file path=docProps/custom.xml><?xml version="1.0" encoding="utf-8"?>
<Properties xmlns="http://schemas.openxmlformats.org/officeDocument/2006/custom-properties" xmlns:vt="http://schemas.openxmlformats.org/officeDocument/2006/docPropsVTypes"/>
</file>